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14910"/>
        </w:tabs>
      </w:pPr>
    </w:p>
    <w:p>
      <w:pPr>
        <w:pStyle w:val="7"/>
        <w:tabs>
          <w:tab w:val="right" w:leader="dot" w:pos="14910"/>
        </w:tabs>
        <w:jc w:val="center"/>
        <w:rPr>
          <w:rFonts w:hint="eastAsia"/>
          <w:b/>
          <w:bCs/>
          <w:sz w:val="36"/>
          <w:szCs w:val="40"/>
        </w:rPr>
      </w:pPr>
      <w:r>
        <w:rPr>
          <w:rFonts w:hint="eastAsia"/>
          <w:b/>
          <w:bCs/>
          <w:sz w:val="36"/>
          <w:szCs w:val="40"/>
        </w:rPr>
        <w:t>广东省“教学质量与教学改革工程”项目评审指标体系（试行）</w:t>
      </w:r>
    </w:p>
    <w:p>
      <w:pPr>
        <w:jc w:val="center"/>
        <w:rPr>
          <w:rFonts w:hint="eastAsia"/>
          <w:b/>
          <w:bCs/>
          <w:sz w:val="24"/>
          <w:szCs w:val="28"/>
          <w:lang w:eastAsia="zh-CN"/>
        </w:rPr>
      </w:pPr>
    </w:p>
    <w:p>
      <w:pPr>
        <w:jc w:val="center"/>
        <w:rPr>
          <w:b w:val="0"/>
          <w:bCs w:val="0"/>
          <w:sz w:val="24"/>
          <w:szCs w:val="28"/>
        </w:rPr>
      </w:pPr>
      <w:r>
        <w:rPr>
          <w:rFonts w:hint="eastAsia"/>
          <w:b w:val="0"/>
          <w:bCs w:val="0"/>
          <w:sz w:val="32"/>
          <w:szCs w:val="36"/>
          <w:lang w:eastAsia="zh-CN"/>
        </w:rPr>
        <w:t>目录</w:t>
      </w:r>
    </w:p>
    <w:p>
      <w:pPr>
        <w:pStyle w:val="7"/>
        <w:tabs>
          <w:tab w:val="right" w:leader="dot" w:pos="14910"/>
        </w:tabs>
      </w:pPr>
    </w:p>
    <w:p>
      <w:pPr>
        <w:pStyle w:val="7"/>
        <w:tabs>
          <w:tab w:val="right" w:leader="dot" w:pos="14910"/>
        </w:tabs>
      </w:pPr>
      <w:r>
        <w:fldChar w:fldCharType="begin"/>
      </w:r>
      <w:r>
        <w:instrText xml:space="preserve">TOC \o "1-1" \h \u </w:instrText>
      </w:r>
      <w:r>
        <w:fldChar w:fldCharType="separate"/>
      </w:r>
      <w:r>
        <w:rPr>
          <w:rFonts w:hint="eastAsia"/>
          <w:color w:val="auto"/>
          <w:u w:val="none"/>
        </w:rPr>
        <w:fldChar w:fldCharType="begin"/>
      </w:r>
      <w:r>
        <w:rPr>
          <w:rFonts w:hint="eastAsia"/>
          <w:color w:val="auto"/>
          <w:u w:val="none"/>
        </w:rPr>
        <w:instrText xml:space="preserve"> HYPERLINK \l "_广东省专业综合改革试点项目验收指标（试行）" </w:instrText>
      </w:r>
      <w:r>
        <w:rPr>
          <w:rFonts w:hint="eastAsia"/>
          <w:color w:val="auto"/>
          <w:u w:val="none"/>
        </w:rPr>
        <w:fldChar w:fldCharType="separate"/>
      </w:r>
      <w:r>
        <w:rPr>
          <w:rStyle w:val="11"/>
          <w:rFonts w:hint="eastAsia"/>
        </w:rPr>
        <w:t>广东省专业综合改革试点项目验收指标（试行）</w:t>
      </w:r>
      <w:r>
        <w:rPr>
          <w:rStyle w:val="11"/>
        </w:rPr>
        <w:tab/>
      </w:r>
      <w:r>
        <w:rPr>
          <w:rStyle w:val="11"/>
        </w:rPr>
        <w:fldChar w:fldCharType="begin"/>
      </w:r>
      <w:r>
        <w:rPr>
          <w:rStyle w:val="11"/>
        </w:rPr>
        <w:instrText xml:space="preserve"> PAGEREF _Toc7726 </w:instrText>
      </w:r>
      <w:r>
        <w:rPr>
          <w:rStyle w:val="11"/>
        </w:rPr>
        <w:fldChar w:fldCharType="separate"/>
      </w:r>
      <w:r>
        <w:rPr>
          <w:rStyle w:val="11"/>
        </w:rPr>
        <w:t>1</w:t>
      </w:r>
      <w:r>
        <w:rPr>
          <w:rStyle w:val="11"/>
        </w:rPr>
        <w:fldChar w:fldCharType="end"/>
      </w:r>
      <w:r>
        <w:rPr>
          <w:rFonts w:hint="eastAsia"/>
          <w:color w:val="auto"/>
          <w:u w:val="none"/>
        </w:rPr>
        <w:fldChar w:fldCharType="end"/>
      </w:r>
    </w:p>
    <w:p>
      <w:pPr>
        <w:pStyle w:val="7"/>
        <w:tabs>
          <w:tab w:val="right" w:leader="dot" w:pos="14910"/>
        </w:tabs>
      </w:pPr>
      <w:r>
        <w:fldChar w:fldCharType="begin"/>
      </w:r>
      <w:r>
        <w:instrText xml:space="preserve"> HYPERLINK \l _Toc3378 </w:instrText>
      </w:r>
      <w:r>
        <w:fldChar w:fldCharType="separate"/>
      </w:r>
      <w:r>
        <w:rPr>
          <w:rFonts w:hint="eastAsia"/>
        </w:rPr>
        <w:t>广东省本科高校人才培养模式创新实验区验收指标（试行）</w:t>
      </w:r>
      <w:r>
        <w:tab/>
      </w:r>
      <w:r>
        <w:fldChar w:fldCharType="begin"/>
      </w:r>
      <w:r>
        <w:instrText xml:space="preserve"> PAGEREF _Toc3378 </w:instrText>
      </w:r>
      <w:r>
        <w:fldChar w:fldCharType="separate"/>
      </w:r>
      <w:r>
        <w:t>3</w:t>
      </w:r>
      <w:r>
        <w:fldChar w:fldCharType="end"/>
      </w:r>
      <w:r>
        <w:fldChar w:fldCharType="end"/>
      </w:r>
    </w:p>
    <w:p>
      <w:pPr>
        <w:pStyle w:val="7"/>
        <w:tabs>
          <w:tab w:val="right" w:leader="dot" w:pos="14910"/>
        </w:tabs>
      </w:pPr>
      <w:r>
        <w:fldChar w:fldCharType="begin"/>
      </w:r>
      <w:r>
        <w:instrText xml:space="preserve"> HYPERLINK \l _Toc5553 </w:instrText>
      </w:r>
      <w:r>
        <w:fldChar w:fldCharType="separate"/>
      </w:r>
      <w:r>
        <w:rPr>
          <w:rFonts w:hint="eastAsia"/>
        </w:rPr>
        <w:t>广东省精品视频公开课验收指标（试行）</w:t>
      </w:r>
      <w:r>
        <w:tab/>
      </w:r>
      <w:r>
        <w:fldChar w:fldCharType="begin"/>
      </w:r>
      <w:r>
        <w:instrText xml:space="preserve"> PAGEREF _Toc5553 </w:instrText>
      </w:r>
      <w:r>
        <w:fldChar w:fldCharType="separate"/>
      </w:r>
      <w:r>
        <w:t>5</w:t>
      </w:r>
      <w:r>
        <w:fldChar w:fldCharType="end"/>
      </w:r>
      <w:r>
        <w:fldChar w:fldCharType="end"/>
      </w:r>
    </w:p>
    <w:p>
      <w:pPr>
        <w:pStyle w:val="7"/>
        <w:tabs>
          <w:tab w:val="right" w:leader="dot" w:pos="14910"/>
        </w:tabs>
      </w:pPr>
      <w:r>
        <w:fldChar w:fldCharType="begin"/>
      </w:r>
      <w:r>
        <w:instrText xml:space="preserve"> HYPERLINK \l _Toc20485 </w:instrText>
      </w:r>
      <w:r>
        <w:fldChar w:fldCharType="separate"/>
      </w:r>
      <w:r>
        <w:rPr>
          <w:rFonts w:hint="eastAsia"/>
        </w:rPr>
        <w:t>广东省精品资源共享课验收指标（试行）</w:t>
      </w:r>
      <w:r>
        <w:tab/>
      </w:r>
      <w:r>
        <w:fldChar w:fldCharType="begin"/>
      </w:r>
      <w:r>
        <w:instrText xml:space="preserve"> PAGEREF _Toc20485 </w:instrText>
      </w:r>
      <w:r>
        <w:fldChar w:fldCharType="separate"/>
      </w:r>
      <w:r>
        <w:t>6</w:t>
      </w:r>
      <w:r>
        <w:fldChar w:fldCharType="end"/>
      </w:r>
      <w:r>
        <w:fldChar w:fldCharType="end"/>
      </w:r>
    </w:p>
    <w:p>
      <w:pPr>
        <w:pStyle w:val="7"/>
        <w:tabs>
          <w:tab w:val="right" w:leader="dot" w:pos="14910"/>
        </w:tabs>
      </w:pPr>
      <w:r>
        <w:fldChar w:fldCharType="begin"/>
      </w:r>
      <w:r>
        <w:instrText xml:space="preserve"> HYPERLINK \l _Toc26694 </w:instrText>
      </w:r>
      <w:r>
        <w:fldChar w:fldCharType="separate"/>
      </w:r>
      <w:r>
        <w:rPr>
          <w:rFonts w:hint="eastAsia"/>
        </w:rPr>
        <w:t>广东省高等教育教学改革项目验收指标（试行）</w:t>
      </w:r>
      <w:r>
        <w:tab/>
      </w:r>
      <w:r>
        <w:fldChar w:fldCharType="begin"/>
      </w:r>
      <w:r>
        <w:instrText xml:space="preserve"> PAGEREF _Toc26694 </w:instrText>
      </w:r>
      <w:r>
        <w:fldChar w:fldCharType="separate"/>
      </w:r>
      <w:r>
        <w:t>8</w:t>
      </w:r>
      <w:r>
        <w:fldChar w:fldCharType="end"/>
      </w:r>
      <w:r>
        <w:fldChar w:fldCharType="end"/>
      </w:r>
    </w:p>
    <w:p>
      <w:pPr>
        <w:pStyle w:val="7"/>
        <w:tabs>
          <w:tab w:val="right" w:leader="dot" w:pos="14910"/>
        </w:tabs>
      </w:pPr>
      <w:r>
        <w:fldChar w:fldCharType="begin"/>
      </w:r>
      <w:r>
        <w:instrText xml:space="preserve"> HYPERLINK \l _Toc16825 </w:instrText>
      </w:r>
      <w:r>
        <w:fldChar w:fldCharType="separate"/>
      </w:r>
      <w:r>
        <w:rPr>
          <w:rFonts w:hint="eastAsia"/>
        </w:rPr>
        <w:t>广东省普通高等学校特色专业建设点评审指标（试行）</w:t>
      </w:r>
      <w:r>
        <w:tab/>
      </w:r>
      <w:r>
        <w:fldChar w:fldCharType="begin"/>
      </w:r>
      <w:r>
        <w:instrText xml:space="preserve"> PAGEREF _Toc16825 </w:instrText>
      </w:r>
      <w:r>
        <w:fldChar w:fldCharType="separate"/>
      </w:r>
      <w:r>
        <w:t>9</w:t>
      </w:r>
      <w:r>
        <w:fldChar w:fldCharType="end"/>
      </w:r>
      <w:r>
        <w:fldChar w:fldCharType="end"/>
      </w:r>
    </w:p>
    <w:p>
      <w:pPr>
        <w:pStyle w:val="7"/>
        <w:tabs>
          <w:tab w:val="right" w:leader="dot" w:pos="14910"/>
        </w:tabs>
      </w:pPr>
      <w:r>
        <w:fldChar w:fldCharType="begin"/>
      </w:r>
      <w:r>
        <w:instrText xml:space="preserve"> HYPERLINK \l _Toc9959 </w:instrText>
      </w:r>
      <w:r>
        <w:fldChar w:fldCharType="separate"/>
      </w:r>
      <w:r>
        <w:rPr>
          <w:rFonts w:hint="eastAsia"/>
        </w:rPr>
        <w:t>广东省教学团队验收标准（试行）</w:t>
      </w:r>
      <w:r>
        <w:tab/>
      </w:r>
      <w:r>
        <w:fldChar w:fldCharType="begin"/>
      </w:r>
      <w:r>
        <w:instrText xml:space="preserve"> PAGEREF _Toc9959 </w:instrText>
      </w:r>
      <w:r>
        <w:fldChar w:fldCharType="separate"/>
      </w:r>
      <w:r>
        <w:t>11</w:t>
      </w:r>
      <w:r>
        <w:fldChar w:fldCharType="end"/>
      </w:r>
      <w:r>
        <w:fldChar w:fldCharType="end"/>
      </w:r>
    </w:p>
    <w:p>
      <w:pPr>
        <w:pStyle w:val="7"/>
        <w:tabs>
          <w:tab w:val="right" w:leader="dot" w:pos="14910"/>
        </w:tabs>
      </w:pPr>
      <w:r>
        <w:fldChar w:fldCharType="begin"/>
      </w:r>
      <w:r>
        <w:instrText xml:space="preserve"> HYPERLINK \l _Toc23097 </w:instrText>
      </w:r>
      <w:r>
        <w:fldChar w:fldCharType="separate"/>
      </w:r>
      <w:r>
        <w:rPr>
          <w:rFonts w:hint="eastAsia"/>
        </w:rPr>
        <w:t>广东省大学生校外实践教学基地验收评审指标体系（试行）</w:t>
      </w:r>
      <w:r>
        <w:tab/>
      </w:r>
      <w:r>
        <w:fldChar w:fldCharType="begin"/>
      </w:r>
      <w:r>
        <w:instrText xml:space="preserve"> PAGEREF _Toc23097 </w:instrText>
      </w:r>
      <w:r>
        <w:fldChar w:fldCharType="separate"/>
      </w:r>
      <w:r>
        <w:t>13</w:t>
      </w:r>
      <w:r>
        <w:fldChar w:fldCharType="end"/>
      </w:r>
      <w:r>
        <w:fldChar w:fldCharType="end"/>
      </w:r>
    </w:p>
    <w:p>
      <w:pPr>
        <w:pStyle w:val="7"/>
        <w:tabs>
          <w:tab w:val="right" w:leader="dot" w:pos="14910"/>
        </w:tabs>
      </w:pPr>
      <w:r>
        <w:fldChar w:fldCharType="begin"/>
      </w:r>
      <w:r>
        <w:instrText xml:space="preserve"> HYPERLINK \l _Toc12644 </w:instrText>
      </w:r>
      <w:r>
        <w:fldChar w:fldCharType="separate"/>
      </w:r>
      <w:r>
        <w:rPr>
          <w:rFonts w:hint="eastAsia"/>
        </w:rPr>
        <w:t>广东省省实验教学示范中心验收评审指标体系（试行）</w:t>
      </w:r>
      <w:r>
        <w:tab/>
      </w:r>
      <w:r>
        <w:fldChar w:fldCharType="begin"/>
      </w:r>
      <w:r>
        <w:instrText xml:space="preserve"> PAGEREF _Toc12644 </w:instrText>
      </w:r>
      <w:r>
        <w:fldChar w:fldCharType="separate"/>
      </w:r>
      <w:r>
        <w:t>15</w:t>
      </w:r>
      <w:r>
        <w:fldChar w:fldCharType="end"/>
      </w:r>
      <w:r>
        <w:fldChar w:fldCharType="end"/>
      </w:r>
    </w:p>
    <w:p>
      <w:pPr>
        <w:pStyle w:val="7"/>
        <w:tabs>
          <w:tab w:val="right" w:leader="dot" w:pos="14910"/>
        </w:tabs>
      </w:pPr>
      <w:r>
        <w:fldChar w:fldCharType="begin"/>
      </w:r>
      <w:r>
        <w:instrText xml:space="preserve"> HYPERLINK \l _Toc19313 </w:instrText>
      </w:r>
      <w:r>
        <w:fldChar w:fldCharType="separate"/>
      </w:r>
      <w:r>
        <w:rPr>
          <w:rFonts w:hint="eastAsia"/>
        </w:rPr>
        <w:t>广东省大学生应用型人才培养示范基地验收评审指标体系（试行）</w:t>
      </w:r>
      <w:r>
        <w:tab/>
      </w:r>
      <w:r>
        <w:fldChar w:fldCharType="begin"/>
      </w:r>
      <w:r>
        <w:instrText xml:space="preserve"> PAGEREF _Toc19313 </w:instrText>
      </w:r>
      <w:r>
        <w:fldChar w:fldCharType="separate"/>
      </w:r>
      <w:r>
        <w:t>16</w:t>
      </w:r>
      <w:r>
        <w:fldChar w:fldCharType="end"/>
      </w:r>
      <w:r>
        <w:fldChar w:fldCharType="end"/>
      </w:r>
    </w:p>
    <w:p>
      <w:pPr>
        <w:pStyle w:val="7"/>
        <w:tabs>
          <w:tab w:val="right" w:leader="dot" w:pos="14910"/>
        </w:tabs>
      </w:pPr>
      <w:r>
        <w:fldChar w:fldCharType="begin"/>
      </w:r>
      <w:r>
        <w:instrText xml:space="preserve"> HYPERLINK \l _Toc1482 </w:instrText>
      </w:r>
      <w:r>
        <w:fldChar w:fldCharType="separate"/>
      </w:r>
      <w:r>
        <w:rPr>
          <w:rFonts w:hint="eastAsia"/>
        </w:rPr>
        <w:t>广东省普通高等学校应用型人才培养示范专业/战略新兴产业特色专业评审指标（试行）</w:t>
      </w:r>
      <w:r>
        <w:tab/>
      </w:r>
      <w:r>
        <w:fldChar w:fldCharType="begin"/>
      </w:r>
      <w:r>
        <w:instrText xml:space="preserve"> PAGEREF _Toc1482 </w:instrText>
      </w:r>
      <w:r>
        <w:fldChar w:fldCharType="separate"/>
      </w:r>
      <w:r>
        <w:t>17</w:t>
      </w:r>
      <w:r>
        <w:fldChar w:fldCharType="end"/>
      </w:r>
      <w:r>
        <w:fldChar w:fldCharType="end"/>
      </w:r>
    </w:p>
    <w:p>
      <w:pPr>
        <w:pStyle w:val="7"/>
        <w:tabs>
          <w:tab w:val="right" w:leader="dot" w:pos="14910"/>
        </w:tabs>
      </w:pPr>
      <w:r>
        <w:fldChar w:fldCharType="begin"/>
      </w:r>
      <w:r>
        <w:instrText xml:space="preserve"> HYPERLINK \l _Toc18352 </w:instrText>
      </w:r>
      <w:r>
        <w:fldChar w:fldCharType="separate"/>
      </w:r>
      <w:r>
        <w:rPr>
          <w:rFonts w:hint="eastAsia"/>
        </w:rPr>
        <w:t>广东省本科高校卓越人才培养计划项目验收指标体系（试行）</w:t>
      </w:r>
      <w:r>
        <w:tab/>
      </w:r>
      <w:r>
        <w:fldChar w:fldCharType="begin"/>
      </w:r>
      <w:r>
        <w:instrText xml:space="preserve"> PAGEREF _Toc18352 </w:instrText>
      </w:r>
      <w:r>
        <w:fldChar w:fldCharType="separate"/>
      </w:r>
      <w:r>
        <w:t>19</w:t>
      </w:r>
      <w:r>
        <w:fldChar w:fldCharType="end"/>
      </w:r>
      <w:r>
        <w:fldChar w:fldCharType="end"/>
      </w:r>
    </w:p>
    <w:p>
      <w:pPr>
        <w:pStyle w:val="7"/>
        <w:tabs>
          <w:tab w:val="right" w:leader="dot" w:pos="14910"/>
        </w:tabs>
      </w:pPr>
      <w:r>
        <w:fldChar w:fldCharType="begin"/>
      </w:r>
      <w:r>
        <w:instrText xml:space="preserve"> HYPERLINK \l _Toc20445 </w:instrText>
      </w:r>
      <w:r>
        <w:fldChar w:fldCharType="separate"/>
      </w:r>
      <w:r>
        <w:rPr>
          <w:rFonts w:hint="eastAsia"/>
        </w:rPr>
        <w:t>广东省本科高校试点学院验收指标体系（试行）</w:t>
      </w:r>
      <w:r>
        <w:tab/>
      </w:r>
      <w:r>
        <w:fldChar w:fldCharType="begin"/>
      </w:r>
      <w:r>
        <w:instrText xml:space="preserve"> PAGEREF _Toc20445 </w:instrText>
      </w:r>
      <w:r>
        <w:fldChar w:fldCharType="separate"/>
      </w:r>
      <w:r>
        <w:t>20</w:t>
      </w:r>
      <w:r>
        <w:fldChar w:fldCharType="end"/>
      </w:r>
      <w:r>
        <w:fldChar w:fldCharType="end"/>
      </w:r>
    </w:p>
    <w:p>
      <w:pPr>
        <w:pStyle w:val="7"/>
        <w:tabs>
          <w:tab w:val="right" w:leader="dot" w:pos="14910"/>
        </w:tabs>
      </w:pPr>
      <w:r>
        <w:fldChar w:fldCharType="begin"/>
      </w:r>
      <w:r>
        <w:instrText xml:space="preserve"> HYPERLINK \l _Toc11179 </w:instrText>
      </w:r>
      <w:r>
        <w:fldChar w:fldCharType="separate"/>
      </w:r>
      <w:r>
        <w:rPr>
          <w:rFonts w:hint="eastAsia"/>
          <w:lang w:val="en-US" w:eastAsia="zh-CN"/>
        </w:rPr>
        <w:t>广东省教师教学发展中心验收指标体系</w:t>
      </w:r>
      <w:r>
        <w:tab/>
      </w:r>
      <w:r>
        <w:fldChar w:fldCharType="begin"/>
      </w:r>
      <w:r>
        <w:instrText xml:space="preserve"> PAGEREF _Toc11179 </w:instrText>
      </w:r>
      <w:r>
        <w:fldChar w:fldCharType="separate"/>
      </w:r>
      <w:r>
        <w:t>22</w:t>
      </w:r>
      <w:r>
        <w:fldChar w:fldCharType="end"/>
      </w:r>
      <w:r>
        <w:fldChar w:fldCharType="end"/>
      </w:r>
    </w:p>
    <w:p>
      <w:pPr>
        <w:pStyle w:val="7"/>
        <w:tabs>
          <w:tab w:val="right" w:leader="dot" w:pos="14910"/>
        </w:tabs>
      </w:pPr>
      <w:r>
        <w:fldChar w:fldCharType="begin"/>
      </w:r>
      <w:r>
        <w:instrText xml:space="preserve"> HYPERLINK \l _Toc24949 </w:instrText>
      </w:r>
      <w:r>
        <w:fldChar w:fldCharType="separate"/>
      </w:r>
      <w:r>
        <w:rPr>
          <w:rFonts w:hint="eastAsia"/>
        </w:rPr>
        <w:t>广东省本科高校在线开放课程建设上线标准(试行</w:t>
      </w:r>
      <w:r>
        <w:t>)</w:t>
      </w:r>
      <w:r>
        <w:tab/>
      </w:r>
      <w:r>
        <w:fldChar w:fldCharType="begin"/>
      </w:r>
      <w:r>
        <w:instrText xml:space="preserve"> PAGEREF _Toc24949 </w:instrText>
      </w:r>
      <w:r>
        <w:fldChar w:fldCharType="separate"/>
      </w:r>
      <w:r>
        <w:t>24</w:t>
      </w:r>
      <w:r>
        <w:fldChar w:fldCharType="end"/>
      </w:r>
      <w:r>
        <w:fldChar w:fldCharType="end"/>
      </w:r>
    </w:p>
    <w:p>
      <w:r>
        <w:fldChar w:fldCharType="end"/>
      </w:r>
    </w:p>
    <w:p>
      <w:pPr>
        <w:pStyle w:val="2"/>
        <w:bidi w:val="0"/>
        <w:outlineLvl w:val="0"/>
        <w:rPr>
          <w:rFonts w:hint="eastAsia"/>
        </w:rPr>
        <w:sectPr>
          <w:pgSz w:w="16838" w:h="11906" w:orient="landscape"/>
          <w:pgMar w:top="964" w:right="964" w:bottom="964" w:left="964" w:header="851" w:footer="992" w:gutter="0"/>
          <w:pgNumType w:fmt="decimal" w:start="1"/>
          <w:cols w:space="425" w:num="1"/>
          <w:docGrid w:type="lines" w:linePitch="312" w:charSpace="0"/>
        </w:sectPr>
      </w:pPr>
      <w:bookmarkStart w:id="0" w:name="_Toc7726"/>
    </w:p>
    <w:p>
      <w:pPr>
        <w:pStyle w:val="2"/>
        <w:bidi w:val="0"/>
        <w:outlineLvl w:val="0"/>
        <w:rPr>
          <w:rFonts w:ascii="仿宋_GB2312" w:eastAsia="仿宋_GB2312"/>
          <w:b/>
          <w:szCs w:val="30"/>
        </w:rPr>
      </w:pPr>
      <w:bookmarkStart w:id="1" w:name="_广东省专业综合改革试点项目验收指标（试行）"/>
      <w:r>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lang w:eastAsia="zh-CN"/>
        </w:rPr>
        <w:instrText xml:space="preserve">ADDIN CNKISM.UserStyle</w:instrText>
      </w:r>
      <w:r>
        <w:rPr>
          <w:rFonts w:hint="eastAsia"/>
        </w:rPr>
        <w:fldChar w:fldCharType="separate"/>
      </w:r>
      <w:r>
        <w:rPr>
          <w:rFonts w:hint="eastAsia"/>
        </w:rPr>
        <w:fldChar w:fldCharType="end"/>
      </w:r>
      <w:r>
        <w:rPr>
          <w:rFonts w:hint="eastAsia"/>
        </w:rPr>
        <w:t>广东省专业综合改革试点项目验收指标（试行）</w:t>
      </w:r>
      <w:bookmarkEnd w:id="0"/>
    </w:p>
    <w:bookmarkEnd w:id="1"/>
    <w:p>
      <w:pPr>
        <w:jc w:val="center"/>
        <w:rPr>
          <w:rFonts w:ascii="仿宋_GB2312" w:eastAsia="仿宋_GB2312"/>
          <w:b/>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LINK Excel.Sheet.8 "C:\\Users\\user\\Desktop\\20160114质量工程项目验收文件汇总\\项目验收指标体系汇总\\专业综合改革项目指标导入模板.xls" "Sheet1!R2C1:R16C7" \a \f 4 \h  \* MERGEFORMAT </w:instrText>
      </w:r>
      <w:r>
        <w:rPr>
          <w:rFonts w:hint="eastAsia" w:ascii="仿宋_GB2312" w:eastAsia="仿宋_GB2312"/>
          <w:sz w:val="24"/>
          <w:szCs w:val="24"/>
        </w:rPr>
        <w:fldChar w:fldCharType="separate"/>
      </w:r>
    </w:p>
    <w:tbl>
      <w:tblPr>
        <w:tblStyle w:val="9"/>
        <w:tblW w:w="14939" w:type="dxa"/>
        <w:jc w:val="center"/>
        <w:tblLayout w:type="autofit"/>
        <w:tblCellMar>
          <w:top w:w="0" w:type="dxa"/>
          <w:left w:w="108" w:type="dxa"/>
          <w:bottom w:w="0" w:type="dxa"/>
          <w:right w:w="108" w:type="dxa"/>
        </w:tblCellMar>
      </w:tblPr>
      <w:tblGrid>
        <w:gridCol w:w="2501"/>
        <w:gridCol w:w="3277"/>
        <w:gridCol w:w="9161"/>
      </w:tblGrid>
      <w:tr>
        <w:tblPrEx>
          <w:tblCellMar>
            <w:top w:w="0" w:type="dxa"/>
            <w:left w:w="108" w:type="dxa"/>
            <w:bottom w:w="0" w:type="dxa"/>
            <w:right w:w="108" w:type="dxa"/>
          </w:tblCellMar>
        </w:tblPrEx>
        <w:trPr>
          <w:trHeight w:val="567" w:hRule="exact"/>
          <w:jc w:val="center"/>
        </w:trPr>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916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评价标准</w:t>
            </w:r>
          </w:p>
        </w:tc>
      </w:tr>
      <w:tr>
        <w:tblPrEx>
          <w:tblCellMar>
            <w:top w:w="0" w:type="dxa"/>
            <w:left w:w="108" w:type="dxa"/>
            <w:bottom w:w="0" w:type="dxa"/>
            <w:right w:w="108" w:type="dxa"/>
          </w:tblCellMar>
        </w:tblPrEx>
        <w:trPr>
          <w:trHeight w:val="56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1．基本情况（8分）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建设思路清晰，优势和特色显著。</w:t>
            </w:r>
          </w:p>
        </w:tc>
      </w:tr>
      <w:tr>
        <w:tblPrEx>
          <w:tblCellMar>
            <w:top w:w="0" w:type="dxa"/>
            <w:left w:w="108" w:type="dxa"/>
            <w:bottom w:w="0" w:type="dxa"/>
            <w:right w:w="108" w:type="dxa"/>
          </w:tblCellMar>
        </w:tblPrEx>
        <w:trPr>
          <w:trHeight w:val="75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2．师资队伍（15分）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数量与结构</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项目负责人（专业带头人）具有高级专业技术职务，教学改革能力突出，全程统筹项目建设。师资队伍结构合理，专兼职结合，教授/副教授比例较高，整体水平高。</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教学团队</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依托专业建设有省级以上教学团队，制定并实施团队成员培训规划。</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教学奖励情况</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依托专业综合改革成果获得省部级以上教学成果奖。</w:t>
            </w:r>
          </w:p>
        </w:tc>
      </w:tr>
      <w:tr>
        <w:tblPrEx>
          <w:tblCellMar>
            <w:top w:w="0" w:type="dxa"/>
            <w:left w:w="108" w:type="dxa"/>
            <w:bottom w:w="0" w:type="dxa"/>
            <w:right w:w="108" w:type="dxa"/>
          </w:tblCellMar>
        </w:tblPrEx>
        <w:trPr>
          <w:trHeight w:val="699" w:hRule="exact"/>
          <w:jc w:val="center"/>
        </w:trPr>
        <w:tc>
          <w:tcPr>
            <w:tcW w:w="2501"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3．教学建设（20分）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用于实验室（实习基地）建设、图书资料、课程建设、教材建设的经费充足，立项建设以来持续增长。</w:t>
            </w:r>
          </w:p>
        </w:tc>
      </w:tr>
      <w:tr>
        <w:tblPrEx>
          <w:tblCellMar>
            <w:top w:w="0" w:type="dxa"/>
            <w:left w:w="108" w:type="dxa"/>
            <w:bottom w:w="0" w:type="dxa"/>
            <w:right w:w="108" w:type="dxa"/>
          </w:tblCellMar>
        </w:tblPrEx>
        <w:trPr>
          <w:trHeight w:val="567"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实验室、实习基地建设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实验室、实习基地和图书资料等能满足培养高素质人才的需求。</w:t>
            </w:r>
          </w:p>
        </w:tc>
      </w:tr>
      <w:tr>
        <w:tblPrEx>
          <w:tblCellMar>
            <w:top w:w="0" w:type="dxa"/>
            <w:left w:w="108" w:type="dxa"/>
            <w:bottom w:w="0" w:type="dxa"/>
            <w:right w:w="108" w:type="dxa"/>
          </w:tblCellMar>
        </w:tblPrEx>
        <w:trPr>
          <w:trHeight w:val="873"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课程和教材建设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优化课程设置，形成具有鲜明特色的专业核心课程群；依托专业综合改革项目，形成一系列高水平的教材成果。</w:t>
            </w:r>
          </w:p>
        </w:tc>
      </w:tr>
      <w:tr>
        <w:tblPrEx>
          <w:tblCellMar>
            <w:top w:w="0" w:type="dxa"/>
            <w:left w:w="108" w:type="dxa"/>
            <w:bottom w:w="0" w:type="dxa"/>
            <w:right w:w="108" w:type="dxa"/>
          </w:tblCellMar>
        </w:tblPrEx>
        <w:trPr>
          <w:trHeight w:val="847" w:hRule="exact"/>
          <w:jc w:val="center"/>
        </w:trPr>
        <w:tc>
          <w:tcPr>
            <w:tcW w:w="2501"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管理制度建设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更新教学管理理念，加强教学过程管理，建立严格的教学管理制度；根据学科和行业发展要求，结合本专业特点，研究制定专业的教学质量保障体系。</w:t>
            </w:r>
          </w:p>
        </w:tc>
      </w:tr>
      <w:tr>
        <w:tblPrEx>
          <w:tblCellMar>
            <w:top w:w="0" w:type="dxa"/>
            <w:left w:w="108" w:type="dxa"/>
            <w:bottom w:w="0" w:type="dxa"/>
            <w:right w:w="108" w:type="dxa"/>
          </w:tblCellMar>
        </w:tblPrEx>
        <w:trPr>
          <w:trHeight w:val="859" w:hRule="exact"/>
          <w:jc w:val="center"/>
        </w:trPr>
        <w:tc>
          <w:tcPr>
            <w:tcW w:w="2501" w:type="dxa"/>
            <w:vMerge w:val="restart"/>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4．教学改革（30分）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教学内容与课程体系改革符合创新创业人才培养的要求，能集成、整合、深化已有教学改革成果，重视对学生实践能力，创新精神和创业能力的培养。</w:t>
            </w:r>
          </w:p>
        </w:tc>
      </w:tr>
      <w:tr>
        <w:tblPrEx>
          <w:tblCellMar>
            <w:top w:w="0" w:type="dxa"/>
            <w:left w:w="108" w:type="dxa"/>
            <w:bottom w:w="0" w:type="dxa"/>
            <w:right w:w="108" w:type="dxa"/>
          </w:tblCellMar>
        </w:tblPrEx>
        <w:trPr>
          <w:trHeight w:val="857"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教学方法改革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实行互动式、研究型教学，在专业内推广小班授课，注重学生学习能力和综合素质考核、实行多元考核方式，主动将科研成果带入专业教学。</w:t>
            </w:r>
          </w:p>
        </w:tc>
      </w:tr>
      <w:tr>
        <w:tblPrEx>
          <w:tblCellMar>
            <w:top w:w="0" w:type="dxa"/>
            <w:left w:w="108" w:type="dxa"/>
            <w:bottom w:w="0" w:type="dxa"/>
            <w:right w:w="108" w:type="dxa"/>
          </w:tblCellMar>
        </w:tblPrEx>
        <w:trPr>
          <w:trHeight w:val="1145"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实践教学改革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积极开展实践教学，培养学生发现、分析和解决问题的能力，开出实验数量、质量符合课程教学要求；实践教学体系完善，依托专业建设的省级以上校内或校外实践教学基地不少于1个。</w:t>
            </w:r>
          </w:p>
        </w:tc>
      </w:tr>
      <w:tr>
        <w:tblPrEx>
          <w:tblCellMar>
            <w:top w:w="0" w:type="dxa"/>
            <w:left w:w="108" w:type="dxa"/>
            <w:bottom w:w="0" w:type="dxa"/>
            <w:right w:w="108" w:type="dxa"/>
          </w:tblCellMar>
        </w:tblPrEx>
        <w:trPr>
          <w:trHeight w:val="849"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5．人才培养质量（15分）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培养目标符合创新创业人才成长需要，培养规格定位准确；人才培养方案细致、可操作性强，依托专业建设了实验教学示范中心或人才培养模式创新实验区。</w:t>
            </w:r>
          </w:p>
        </w:tc>
      </w:tr>
      <w:tr>
        <w:tblPrEx>
          <w:tblCellMar>
            <w:top w:w="0" w:type="dxa"/>
            <w:left w:w="108" w:type="dxa"/>
            <w:bottom w:w="0" w:type="dxa"/>
            <w:right w:w="108" w:type="dxa"/>
          </w:tblCellMar>
        </w:tblPrEx>
        <w:trPr>
          <w:trHeight w:val="832"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创新精神及实践能力</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学生创新精神和实践能力普遍较强，创新成果较多；学生在校期间参加省级及以上各类竞赛并获奖。</w:t>
            </w:r>
          </w:p>
        </w:tc>
      </w:tr>
      <w:tr>
        <w:tblPrEx>
          <w:tblCellMar>
            <w:top w:w="0" w:type="dxa"/>
            <w:left w:w="108" w:type="dxa"/>
            <w:bottom w:w="0" w:type="dxa"/>
            <w:right w:w="108" w:type="dxa"/>
          </w:tblCellMar>
        </w:tblPrEx>
        <w:trPr>
          <w:trHeight w:val="1129"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服务社会能力</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专业建设能密切联系本地经济社会发展，在与产业和行业企业协同育人领域成效显著，建立了持久、高效的工作体制机制；毕业生广泛受到用人单位好评，初次就业率较高。</w:t>
            </w:r>
          </w:p>
        </w:tc>
      </w:tr>
      <w:tr>
        <w:tblPrEx>
          <w:tblCellMar>
            <w:top w:w="0" w:type="dxa"/>
            <w:left w:w="108" w:type="dxa"/>
            <w:bottom w:w="0" w:type="dxa"/>
            <w:right w:w="108" w:type="dxa"/>
          </w:tblCellMar>
        </w:tblPrEx>
        <w:trPr>
          <w:trHeight w:val="861" w:hRule="exact"/>
          <w:jc w:val="center"/>
        </w:trPr>
        <w:tc>
          <w:tcPr>
            <w:tcW w:w="2501"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6．建设成果（12分）</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建设成果为原创，创新性强；起到一定的示范作用和对教学改革起到促进作用。</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建设成果的价值</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建设成果水平较高，具有推广和应用价值。</w:t>
            </w:r>
          </w:p>
        </w:tc>
      </w:tr>
    </w:tbl>
    <w:p>
      <w:pPr>
        <w:rPr>
          <w:rFonts w:ascii="仿宋_GB2312" w:eastAsia="仿宋_GB2312"/>
          <w:sz w:val="24"/>
          <w:szCs w:val="24"/>
        </w:rPr>
      </w:pPr>
      <w:r>
        <w:rPr>
          <w:rFonts w:hint="eastAsia" w:ascii="仿宋_GB2312" w:eastAsia="仿宋_GB2312"/>
          <w:sz w:val="24"/>
          <w:szCs w:val="24"/>
        </w:rPr>
        <w:fldChar w:fldCharType="end"/>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pStyle w:val="2"/>
        <w:bidi w:val="0"/>
      </w:pPr>
      <w:bookmarkStart w:id="2" w:name="_Toc3378"/>
      <w:r>
        <w:rPr>
          <w:rFonts w:hint="eastAsia"/>
        </w:rPr>
        <w:t>广东省本科高校人才培养模式创新实验区验收指标（试行）</w:t>
      </w:r>
      <w:bookmarkEnd w:id="2"/>
    </w:p>
    <w:tbl>
      <w:tblPr>
        <w:tblStyle w:val="9"/>
        <w:tblW w:w="0" w:type="auto"/>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1385"/>
        <w:gridCol w:w="2328"/>
        <w:gridCol w:w="114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1354"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304"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41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49" w:hRule="atLeast"/>
          <w:tblCellSpacing w:w="7" w:type="dxa"/>
          <w:jc w:val="center"/>
        </w:trPr>
        <w:tc>
          <w:tcPr>
            <w:tcW w:w="1354" w:type="dxa"/>
            <w:vMerge w:val="restart"/>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304"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41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49" w:hRule="atLeast"/>
          <w:tblCellSpacing w:w="7" w:type="dxa"/>
          <w:jc w:val="center"/>
        </w:trPr>
        <w:tc>
          <w:tcPr>
            <w:tcW w:w="1354" w:type="dxa"/>
            <w:vMerge w:val="continue"/>
            <w:shd w:val="clear" w:color="auto" w:fill="FFFFFF"/>
            <w:noWrap/>
            <w:vAlign w:val="center"/>
          </w:tcPr>
          <w:p>
            <w:pPr>
              <w:jc w:val="center"/>
              <w:rPr>
                <w:rFonts w:ascii="仿宋_GB2312" w:eastAsia="仿宋_GB2312"/>
                <w:sz w:val="24"/>
                <w:szCs w:val="24"/>
              </w:rPr>
            </w:pPr>
          </w:p>
        </w:tc>
        <w:tc>
          <w:tcPr>
            <w:tcW w:w="2304"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141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23" w:hRule="atLeast"/>
          <w:tblCellSpacing w:w="7" w:type="dxa"/>
          <w:jc w:val="center"/>
        </w:trPr>
        <w:tc>
          <w:tcPr>
            <w:tcW w:w="135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指导思想</w:t>
            </w:r>
          </w:p>
          <w:p>
            <w:pPr>
              <w:rPr>
                <w:rFonts w:ascii="仿宋_GB2312" w:eastAsia="仿宋_GB2312"/>
                <w:sz w:val="24"/>
                <w:szCs w:val="24"/>
              </w:rPr>
            </w:pPr>
            <w:r>
              <w:rPr>
                <w:rFonts w:hint="eastAsia" w:ascii="仿宋_GB2312" w:eastAsia="仿宋_GB2312"/>
                <w:sz w:val="24"/>
                <w:szCs w:val="24"/>
              </w:rPr>
              <w:t>（10分）</w:t>
            </w: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教育理念</w:t>
            </w:r>
          </w:p>
        </w:tc>
        <w:tc>
          <w:tcPr>
            <w:tcW w:w="1141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对人才培养模式进行综合性配套改革，突破旧有模式，教育教学理念具有较强的创新性。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59"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理论研究</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加强人才培养模式改革进行了较深入的理论研究和社会调研，形成了有特色的人才培养研究成果。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53" w:hRule="atLeast"/>
          <w:tblCellSpacing w:w="7" w:type="dxa"/>
          <w:jc w:val="center"/>
        </w:trPr>
        <w:tc>
          <w:tcPr>
            <w:tcW w:w="135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培养方案</w:t>
            </w:r>
          </w:p>
          <w:p>
            <w:pPr>
              <w:rPr>
                <w:rFonts w:ascii="仿宋_GB2312" w:eastAsia="仿宋_GB2312"/>
                <w:sz w:val="24"/>
                <w:szCs w:val="24"/>
              </w:rPr>
            </w:pPr>
            <w:r>
              <w:rPr>
                <w:rFonts w:hint="eastAsia" w:ascii="仿宋_GB2312" w:eastAsia="仿宋_GB2312"/>
                <w:sz w:val="24"/>
                <w:szCs w:val="24"/>
              </w:rPr>
              <w:t>（15分）</w:t>
            </w: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培养目标</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根据经济社会发展需要，结合学校的办学定位、办学特色，明确培养目标，定位科学合理.培养目标明确。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17"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方案设计</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具备较为完整和科学的人才培养方案，创新点突出，特色鲜明，对本领域复合型拔尖创新人才或应用型人才培养具有较为深刻的认识和理解，人才培养定位准确，有明确的工作思路和解决问题的方法。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04"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可行性</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措施具体，可操作性强，并按培养创新创业人才要求对人才培养方案进行了修订。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79" w:hRule="atLeast"/>
          <w:tblCellSpacing w:w="7" w:type="dxa"/>
          <w:jc w:val="center"/>
        </w:trPr>
        <w:tc>
          <w:tcPr>
            <w:tcW w:w="1354"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教学改革</w:t>
            </w:r>
          </w:p>
          <w:p>
            <w:pPr>
              <w:rPr>
                <w:rFonts w:ascii="仿宋_GB2312" w:eastAsia="仿宋_GB2312"/>
                <w:sz w:val="24"/>
                <w:szCs w:val="24"/>
              </w:rPr>
            </w:pPr>
            <w:r>
              <w:rPr>
                <w:rFonts w:hint="eastAsia" w:ascii="仿宋_GB2312" w:eastAsia="仿宋_GB2312"/>
                <w:sz w:val="24"/>
                <w:szCs w:val="24"/>
              </w:rPr>
              <w:t>（20分）</w:t>
            </w:r>
          </w:p>
          <w:p>
            <w:pPr>
              <w:rPr>
                <w:rFonts w:ascii="仿宋_GB2312" w:eastAsia="仿宋_GB2312"/>
                <w:sz w:val="24"/>
                <w:szCs w:val="24"/>
              </w:rPr>
            </w:pP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教学内容和方式改革</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教学内容能够贴近社会实际，教学资源丰富，形式多样，即时动态更新，有新编教材；在实验区内推广了小班教学或互动式、研究型教学，主动将科研成果带入课堂。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71" w:hRule="atLeast"/>
          <w:tblCellSpacing w:w="7" w:type="dxa"/>
          <w:jc w:val="center"/>
        </w:trPr>
        <w:tc>
          <w:tcPr>
            <w:tcW w:w="1354" w:type="dxa"/>
            <w:vMerge w:val="continue"/>
            <w:shd w:val="clear" w:color="auto" w:fill="auto"/>
            <w:vAlign w:val="center"/>
          </w:tcPr>
          <w:p>
            <w:pPr>
              <w:rPr>
                <w:rFonts w:ascii="仿宋_GB2312" w:eastAsia="仿宋_GB2312"/>
                <w:sz w:val="24"/>
                <w:szCs w:val="24"/>
              </w:rPr>
            </w:pP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考核方式改革</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实行多元考核方式，注重学生知识应用和自主学习能力考察，建立了行之有效的学分积累和转换制度，配套一系列灵活的过程考核制度。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411" w:hRule="atLeast"/>
          <w:tblCellSpacing w:w="7" w:type="dxa"/>
          <w:jc w:val="center"/>
        </w:trPr>
        <w:tc>
          <w:tcPr>
            <w:tcW w:w="135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保障体系</w:t>
            </w:r>
          </w:p>
          <w:p>
            <w:pPr>
              <w:rPr>
                <w:rFonts w:ascii="仿宋_GB2312" w:eastAsia="仿宋_GB2312"/>
                <w:sz w:val="24"/>
                <w:szCs w:val="24"/>
              </w:rPr>
            </w:pPr>
            <w:r>
              <w:rPr>
                <w:rFonts w:hint="eastAsia" w:ascii="仿宋_GB2312" w:eastAsia="仿宋_GB2312"/>
                <w:sz w:val="24"/>
                <w:szCs w:val="24"/>
              </w:rPr>
              <w:t>（20分）</w:t>
            </w: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师资队伍</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师资队伍结构合理，师德高尚，业务素质精良，专职教师的主要精力投入教学工作，兼职教师队伍积极参与教学，水平较高，数量充足。项目负责人（专业带头人）具有高级专业技术职务。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466"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教学条件</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实践实验条件优良，教室、实验室教学设备齐全、先进，基本教学资料齐备，教材选用严格，图书资料（含网络数据库和数字化图书）丰富，使用方便。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453"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管理与运行</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建立了长效的协同育人机制，有完备的运行管理制度并得到校内有关部门的紧密配合，重视过程管理，有稳定的经费投入和运行机制。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24"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经费政策保障</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学校重视，在教育教学改革、师资配备、经费保障等方面有明确的鼓励和支持政策。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72" w:hRule="atLeast"/>
          <w:tblCellSpacing w:w="7" w:type="dxa"/>
          <w:jc w:val="center"/>
        </w:trPr>
        <w:tc>
          <w:tcPr>
            <w:tcW w:w="1354" w:type="dxa"/>
            <w:shd w:val="clear" w:color="auto" w:fill="auto"/>
            <w:vAlign w:val="center"/>
          </w:tcPr>
          <w:p>
            <w:pPr>
              <w:rPr>
                <w:rFonts w:ascii="仿宋_GB2312" w:eastAsia="仿宋_GB2312"/>
                <w:sz w:val="24"/>
                <w:szCs w:val="24"/>
              </w:rPr>
            </w:pPr>
            <w:r>
              <w:rPr>
                <w:rFonts w:hint="eastAsia" w:ascii="仿宋_GB2312" w:eastAsia="仿宋_GB2312"/>
                <w:sz w:val="24"/>
                <w:szCs w:val="24"/>
              </w:rPr>
              <w:t>培养效果</w:t>
            </w:r>
          </w:p>
          <w:p>
            <w:pPr>
              <w:rPr>
                <w:rFonts w:ascii="仿宋_GB2312" w:eastAsia="仿宋_GB2312"/>
                <w:sz w:val="24"/>
                <w:szCs w:val="24"/>
              </w:rPr>
            </w:pPr>
            <w:r>
              <w:rPr>
                <w:rFonts w:hint="eastAsia" w:ascii="仿宋_GB2312" w:eastAsia="仿宋_GB2312"/>
                <w:sz w:val="24"/>
                <w:szCs w:val="24"/>
              </w:rPr>
              <w:t>（15分）</w:t>
            </w: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人才综合素质</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自实验区成立以来，学生发明专利和发表高水平论文或其他创新成果较多，人才培养综合素质好，学生发现、分析和解决问题能力突出，创新创业能力较强，学生在校期间参加省级及以上各类竞赛获奖较多，毕业生就业质量高，广泛受到用人单位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95" w:hRule="atLeast"/>
          <w:tblCellSpacing w:w="7" w:type="dxa"/>
          <w:jc w:val="center"/>
        </w:trPr>
        <w:tc>
          <w:tcPr>
            <w:tcW w:w="135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w:t>
            </w:r>
          </w:p>
          <w:p>
            <w:pPr>
              <w:rPr>
                <w:rFonts w:ascii="仿宋_GB2312" w:eastAsia="仿宋_GB2312"/>
                <w:sz w:val="24"/>
                <w:szCs w:val="24"/>
              </w:rPr>
            </w:pPr>
            <w:r>
              <w:rPr>
                <w:rFonts w:hint="eastAsia" w:ascii="仿宋_GB2312" w:eastAsia="仿宋_GB2312"/>
                <w:sz w:val="24"/>
                <w:szCs w:val="24"/>
              </w:rPr>
              <w:t>（10分）</w:t>
            </w: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成果的创新和示范</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建设成果为原创，创新性强，水平较高，具有推广和应用价值，起到一定的示范作用和对教学改革起到促进作用。</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pStyle w:val="2"/>
        <w:bidi w:val="0"/>
      </w:pPr>
      <w:bookmarkStart w:id="3" w:name="_Toc5553"/>
      <w:r>
        <w:rPr>
          <w:rFonts w:hint="eastAsia"/>
        </w:rPr>
        <w:t>广东省精品视频公开课验收指标（试行）</w:t>
      </w:r>
      <w:bookmarkEnd w:id="3"/>
    </w:p>
    <w:tbl>
      <w:tblPr>
        <w:tblStyle w:val="9"/>
        <w:tblW w:w="14880"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1518"/>
        <w:gridCol w:w="2635"/>
        <w:gridCol w:w="107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 w:hRule="atLeast"/>
          <w:tblCellSpacing w:w="7" w:type="dxa"/>
          <w:jc w:val="center"/>
        </w:trPr>
        <w:tc>
          <w:tcPr>
            <w:tcW w:w="1487"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611"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726"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0" w:hRule="atLeast"/>
          <w:tblCellSpacing w:w="7" w:type="dxa"/>
          <w:jc w:val="center"/>
        </w:trPr>
        <w:tc>
          <w:tcPr>
            <w:tcW w:w="1487" w:type="dxa"/>
            <w:vMerge w:val="restart"/>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611"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72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0" w:hRule="atLeast"/>
          <w:tblCellSpacing w:w="7" w:type="dxa"/>
          <w:jc w:val="center"/>
        </w:trPr>
        <w:tc>
          <w:tcPr>
            <w:tcW w:w="1487" w:type="dxa"/>
            <w:vMerge w:val="continue"/>
            <w:shd w:val="clear" w:color="auto" w:fill="FFFFFF"/>
            <w:noWrap/>
            <w:vAlign w:val="center"/>
          </w:tcPr>
          <w:p>
            <w:pPr>
              <w:jc w:val="center"/>
              <w:rPr>
                <w:rFonts w:ascii="仿宋_GB2312" w:eastAsia="仿宋_GB2312"/>
                <w:sz w:val="24"/>
                <w:szCs w:val="24"/>
              </w:rPr>
            </w:pPr>
          </w:p>
        </w:tc>
        <w:tc>
          <w:tcPr>
            <w:tcW w:w="2611"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72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 w:hRule="atLeast"/>
          <w:tblCellSpacing w:w="7" w:type="dxa"/>
          <w:jc w:val="center"/>
        </w:trPr>
        <w:tc>
          <w:tcPr>
            <w:tcW w:w="148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教师风采</w:t>
            </w:r>
          </w:p>
          <w:p>
            <w:pPr>
              <w:jc w:val="center"/>
              <w:rPr>
                <w:rFonts w:ascii="仿宋_GB2312" w:eastAsia="仿宋_GB2312"/>
                <w:sz w:val="24"/>
                <w:szCs w:val="24"/>
              </w:rPr>
            </w:pPr>
            <w:r>
              <w:rPr>
                <w:rFonts w:hint="eastAsia" w:ascii="仿宋_GB2312" w:eastAsia="仿宋_GB2312"/>
                <w:sz w:val="24"/>
                <w:szCs w:val="24"/>
              </w:rPr>
              <w:t>（20分）</w:t>
            </w: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口才</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讲解深入浅出、清晰透彻，个性鲜明，易于理解。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知识</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对学科领域知识和相关学科知识都比较熟悉，学术造诣深厚。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1"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能力</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教学能力强，教学经验丰富</w:t>
            </w:r>
            <w:r>
              <w:rPr>
                <w:rFonts w:hint="eastAsia" w:ascii="仿宋_GB2312" w:eastAsia="仿宋_GB2312" w:hAnsiTheme="minorEastAsia"/>
                <w:bCs/>
                <w:sz w:val="24"/>
                <w:szCs w:val="24"/>
              </w:rPr>
              <w:t>，具有高级专业技术职务；</w:t>
            </w:r>
            <w:r>
              <w:rPr>
                <w:rFonts w:hint="eastAsia" w:ascii="仿宋_GB2312" w:eastAsia="仿宋_GB2312"/>
                <w:sz w:val="24"/>
                <w:szCs w:val="24"/>
              </w:rPr>
              <w:t>教学特色鲜明，通过提问、讨论等多种教学方法调动学习者学习积极性，教学效果较好。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敬业</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准备充分，严谨认真，维护师德。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1" w:hRule="atLeast"/>
          <w:tblCellSpacing w:w="7" w:type="dxa"/>
          <w:jc w:val="center"/>
        </w:trPr>
        <w:tc>
          <w:tcPr>
            <w:tcW w:w="148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课程内容</w:t>
            </w:r>
          </w:p>
          <w:p>
            <w:pPr>
              <w:jc w:val="center"/>
              <w:rPr>
                <w:rFonts w:ascii="仿宋_GB2312" w:eastAsia="仿宋_GB2312"/>
                <w:sz w:val="24"/>
                <w:szCs w:val="24"/>
              </w:rPr>
            </w:pPr>
            <w:r>
              <w:rPr>
                <w:rFonts w:hint="eastAsia" w:ascii="仿宋_GB2312" w:eastAsia="仿宋_GB2312"/>
                <w:sz w:val="24"/>
                <w:szCs w:val="24"/>
              </w:rPr>
              <w:t>（10分）</w:t>
            </w: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内容组织</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理论联系实际，课内外结合，融知识传授、能力培养、素质教育于一体。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1"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内容本体</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课程内容具备科学性、先进性、合理性、丰富性；具有特色。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1" w:hRule="atLeast"/>
          <w:tblCellSpacing w:w="7" w:type="dxa"/>
          <w:jc w:val="center"/>
        </w:trPr>
        <w:tc>
          <w:tcPr>
            <w:tcW w:w="148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技术保障</w:t>
            </w:r>
          </w:p>
          <w:p>
            <w:pPr>
              <w:jc w:val="center"/>
              <w:rPr>
                <w:rFonts w:ascii="仿宋_GB2312" w:eastAsia="仿宋_GB2312"/>
                <w:sz w:val="24"/>
                <w:szCs w:val="24"/>
              </w:rPr>
            </w:pPr>
            <w:r>
              <w:rPr>
                <w:rFonts w:hint="eastAsia" w:ascii="仿宋_GB2312" w:eastAsia="仿宋_GB2312"/>
                <w:sz w:val="24"/>
                <w:szCs w:val="24"/>
              </w:rPr>
              <w:t>（20分）</w:t>
            </w: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网站建设情况</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学校建设有专门的课程网站并开通了课程共享渠道，网站点播数量较多且播放清晰顺畅。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1"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课程视频制作情况</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课程视频录像拍摄和制作水平较高，讲数超过4讲，每讲时长达到30分钟以上。课程制作达到了国家规定的“精品视频公开课拍摄制作技术标准（修订版）”的要求。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4" w:hRule="atLeast"/>
          <w:tblCellSpacing w:w="7" w:type="dxa"/>
          <w:jc w:val="center"/>
        </w:trPr>
        <w:tc>
          <w:tcPr>
            <w:tcW w:w="1487"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p>
            <w:pPr>
              <w:jc w:val="center"/>
              <w:rPr>
                <w:rFonts w:ascii="仿宋_GB2312" w:eastAsia="仿宋_GB2312"/>
                <w:sz w:val="24"/>
                <w:szCs w:val="24"/>
              </w:rPr>
            </w:pPr>
            <w:r>
              <w:rPr>
                <w:rFonts w:hint="eastAsia" w:ascii="仿宋_GB2312" w:eastAsia="仿宋_GB2312"/>
                <w:sz w:val="24"/>
                <w:szCs w:val="24"/>
              </w:rPr>
              <w:t>（40分）</w:t>
            </w:r>
          </w:p>
        </w:tc>
        <w:tc>
          <w:tcPr>
            <w:tcW w:w="261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p>
        </w:tc>
        <w:tc>
          <w:tcPr>
            <w:tcW w:w="10726" w:type="dxa"/>
            <w:shd w:val="clear" w:color="auto" w:fill="auto"/>
            <w:vAlign w:val="center"/>
          </w:tcPr>
          <w:p>
            <w:pPr>
              <w:rPr>
                <w:rFonts w:ascii="仿宋_GB2312" w:eastAsia="仿宋_GB2312"/>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1" w:hRule="atLeast"/>
          <w:tblCellSpacing w:w="7" w:type="dxa"/>
          <w:jc w:val="center"/>
        </w:trPr>
        <w:tc>
          <w:tcPr>
            <w:tcW w:w="1487" w:type="dxa"/>
            <w:vMerge w:val="continue"/>
            <w:shd w:val="clear" w:color="auto" w:fill="auto"/>
            <w:vAlign w:val="center"/>
          </w:tcPr>
          <w:p>
            <w:pPr>
              <w:rPr>
                <w:rFonts w:ascii="仿宋_GB2312" w:eastAsia="仿宋_GB2312"/>
                <w:sz w:val="24"/>
                <w:szCs w:val="24"/>
              </w:rPr>
            </w:pPr>
          </w:p>
        </w:tc>
        <w:tc>
          <w:tcPr>
            <w:tcW w:w="261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72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课程已经在本校或者其他高校教学实践过程中得到检验，课程对于本专业或相关专业教学促进作用明显，课程的反响较好，评价较高。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 w:hRule="atLeast"/>
          <w:tblCellSpacing w:w="7" w:type="dxa"/>
          <w:jc w:val="center"/>
        </w:trPr>
        <w:tc>
          <w:tcPr>
            <w:tcW w:w="1487" w:type="dxa"/>
            <w:vMerge w:val="continue"/>
            <w:shd w:val="clear" w:color="auto" w:fill="auto"/>
            <w:vAlign w:val="center"/>
          </w:tcPr>
          <w:p>
            <w:pPr>
              <w:rPr>
                <w:rFonts w:ascii="仿宋_GB2312" w:eastAsia="仿宋_GB2312"/>
                <w:sz w:val="24"/>
                <w:szCs w:val="24"/>
              </w:rPr>
            </w:pPr>
          </w:p>
        </w:tc>
        <w:tc>
          <w:tcPr>
            <w:tcW w:w="261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成果价值</w:t>
            </w:r>
          </w:p>
        </w:tc>
        <w:tc>
          <w:tcPr>
            <w:tcW w:w="1072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课程建设成果丰富、体系完备且课程质量较高，采用了先进的教学方式和前沿的教学内容，注重突出学校办学特色和学科优势，在国内同类型课程中具有代表性和示范性。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6" w:hRule="atLeast"/>
          <w:tblCellSpacing w:w="7" w:type="dxa"/>
          <w:jc w:val="center"/>
        </w:trPr>
        <w:tc>
          <w:tcPr>
            <w:tcW w:w="1487" w:type="dxa"/>
            <w:vMerge w:val="continue"/>
            <w:shd w:val="clear" w:color="auto" w:fill="auto"/>
            <w:vAlign w:val="center"/>
          </w:tcPr>
          <w:p>
            <w:pPr>
              <w:rPr>
                <w:rFonts w:ascii="仿宋_GB2312" w:eastAsia="仿宋_GB2312"/>
                <w:sz w:val="24"/>
                <w:szCs w:val="24"/>
              </w:rPr>
            </w:pPr>
          </w:p>
        </w:tc>
        <w:tc>
          <w:tcPr>
            <w:tcW w:w="2611" w:type="dxa"/>
            <w:shd w:val="clear" w:color="auto" w:fill="auto"/>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推广及影响力</w:t>
            </w:r>
          </w:p>
        </w:tc>
        <w:tc>
          <w:tcPr>
            <w:tcW w:w="1072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课程符合网络传播的特点，已被其他高校或单位采用，在省内外具有一定影响力和知名度，反馈良好。</w:t>
            </w:r>
          </w:p>
        </w:tc>
      </w:tr>
    </w:tbl>
    <w:p>
      <w:pPr>
        <w:pStyle w:val="2"/>
        <w:bidi w:val="0"/>
      </w:pPr>
      <w:bookmarkStart w:id="4" w:name="_Toc20485"/>
      <w:r>
        <w:rPr>
          <w:rFonts w:hint="eastAsia"/>
        </w:rPr>
        <w:t>广东省精品资源共享课验收指标（试行）</w:t>
      </w:r>
      <w:bookmarkEnd w:id="4"/>
    </w:p>
    <w:tbl>
      <w:tblPr>
        <w:tblStyle w:val="9"/>
        <w:tblW w:w="0" w:type="auto"/>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2514"/>
        <w:gridCol w:w="2197"/>
        <w:gridCol w:w="100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2483"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73"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2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49" w:hRule="atLeast"/>
          <w:tblCellSpacing w:w="7" w:type="dxa"/>
          <w:jc w:val="center"/>
        </w:trPr>
        <w:tc>
          <w:tcPr>
            <w:tcW w:w="2483" w:type="dxa"/>
            <w:vMerge w:val="restart"/>
            <w:shd w:val="clear" w:color="auto" w:fill="FFFFFF"/>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基本情况（10分）</w:t>
            </w:r>
          </w:p>
        </w:tc>
        <w:tc>
          <w:tcPr>
            <w:tcW w:w="2173" w:type="dxa"/>
            <w:shd w:val="clear" w:color="auto" w:fill="FFFFFF"/>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建设任务完成情况</w:t>
            </w:r>
          </w:p>
        </w:tc>
        <w:tc>
          <w:tcPr>
            <w:tcW w:w="1002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基本完成了申报时预设的各项建设目标。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49" w:hRule="atLeast"/>
          <w:tblCellSpacing w:w="7" w:type="dxa"/>
          <w:jc w:val="center"/>
        </w:trPr>
        <w:tc>
          <w:tcPr>
            <w:tcW w:w="2483" w:type="dxa"/>
            <w:vMerge w:val="continue"/>
            <w:shd w:val="clear" w:color="auto" w:fill="FFFFFF"/>
            <w:noWrap/>
            <w:vAlign w:val="center"/>
          </w:tcPr>
          <w:p>
            <w:pPr>
              <w:jc w:val="center"/>
              <w:rPr>
                <w:rFonts w:ascii="仿宋_GB2312" w:eastAsia="仿宋_GB2312" w:hAnsiTheme="minorEastAsia"/>
                <w:sz w:val="24"/>
                <w:szCs w:val="24"/>
              </w:rPr>
            </w:pPr>
          </w:p>
        </w:tc>
        <w:tc>
          <w:tcPr>
            <w:tcW w:w="2173" w:type="dxa"/>
            <w:shd w:val="clear" w:color="auto" w:fill="FFFFFF"/>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建设思路</w:t>
            </w:r>
          </w:p>
        </w:tc>
        <w:tc>
          <w:tcPr>
            <w:tcW w:w="1002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55" w:hRule="atLeast"/>
          <w:tblCellSpacing w:w="7" w:type="dxa"/>
          <w:jc w:val="center"/>
        </w:trPr>
        <w:tc>
          <w:tcPr>
            <w:tcW w:w="248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课程建设团队（10分）</w:t>
            </w: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课程负责人</w:t>
            </w:r>
          </w:p>
        </w:tc>
        <w:tc>
          <w:tcPr>
            <w:tcW w:w="10023" w:type="dxa"/>
            <w:shd w:val="clear" w:color="auto" w:fill="FFFFFF"/>
            <w:vAlign w:val="center"/>
          </w:tcPr>
          <w:p>
            <w:pPr>
              <w:rPr>
                <w:rFonts w:ascii="仿宋_GB2312" w:eastAsia="仿宋_GB2312" w:hAnsiTheme="minorEastAsia"/>
                <w:sz w:val="24"/>
                <w:szCs w:val="24"/>
                <w:highlight w:val="yellow"/>
              </w:rPr>
            </w:pPr>
            <w:r>
              <w:rPr>
                <w:rFonts w:hint="eastAsia" w:ascii="仿宋_GB2312" w:eastAsia="仿宋_GB2312" w:hAnsiTheme="minorEastAsia"/>
                <w:bCs/>
                <w:sz w:val="24"/>
                <w:szCs w:val="24"/>
              </w:rPr>
              <w:t>具有良好师德，学术造诣深厚，具有高级专业技术职务；负责本课程建设和教学工作，教学经验丰富；教学能力强，教学特色鲜明，教学成效显著。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55"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团队成员</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团队知识结构、年龄结构、学缘结构合理；团队成员中包括专业教师和教育技术骨干，任务分工合理。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课程建设与实施（20分）</w:t>
            </w:r>
          </w:p>
        </w:tc>
        <w:tc>
          <w:tcPr>
            <w:tcW w:w="217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内容定位</w:t>
            </w:r>
          </w:p>
        </w:tc>
        <w:tc>
          <w:tcPr>
            <w:tcW w:w="10023" w:type="dxa"/>
            <w:shd w:val="clear" w:color="auto" w:fill="FFFFFF"/>
            <w:vAlign w:val="center"/>
          </w:tcPr>
          <w:p>
            <w:pPr>
              <w:rPr>
                <w:rFonts w:ascii="仿宋_GB2312" w:eastAsia="仿宋_GB2312" w:hAnsiTheme="minorEastAsia"/>
                <w:kern w:val="0"/>
                <w:sz w:val="24"/>
                <w:szCs w:val="24"/>
              </w:rPr>
            </w:pPr>
            <w:r>
              <w:rPr>
                <w:rFonts w:hint="eastAsia" w:ascii="仿宋_GB2312" w:eastAsia="仿宋_GB2312" w:hAnsiTheme="minorEastAsia"/>
                <w:bCs/>
                <w:sz w:val="24"/>
                <w:szCs w:val="24"/>
              </w:rPr>
              <w:t>课程定位明确，对实现人才培养目标起重要的支撑或促进作用，且与前导、后续课程衔接得当。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内容组织</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遵循学习者的认知规律和能力培养规律安排教学内容、设计课程模块或教学单元，科学设计教学环节，合理分配教学时数，理论联系实际，课内课外有机结合，融知识传授、能力培养、素质教育于一体。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内容选择</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体现现代教育思想，符合教育教学规律，具有基础性、科学性、系统性、先进性、适应性和针对性。适应开放教育和辅助学习需要，有助于学习者创新能力、实践能力和可持续发展能力的培养。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教学方法和手段</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重视探究性学习、研究性学习，</w:t>
            </w:r>
            <w:r>
              <w:rPr>
                <w:rFonts w:hint="eastAsia" w:ascii="仿宋_GB2312" w:eastAsia="仿宋_GB2312" w:hAnsiTheme="minorEastAsia"/>
                <w:sz w:val="24"/>
                <w:szCs w:val="24"/>
              </w:rPr>
              <w:t>能根据课程内容和学生特点，</w:t>
            </w:r>
            <w:r>
              <w:rPr>
                <w:rFonts w:hint="eastAsia" w:ascii="仿宋_GB2312" w:eastAsia="仿宋_GB2312" w:hAnsiTheme="minorEastAsia"/>
                <w:bCs/>
                <w:sz w:val="24"/>
                <w:szCs w:val="24"/>
              </w:rPr>
              <w:t>灵活运用多种恰当的教学方法和教学手段，有效调动学生学习的积极性，激发学生学习兴趣，促进学生学习能力发展，教学效果好。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课程资源（25分）</w:t>
            </w: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资源建设</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课程基本资源质量高，能系统反映本课程教学理念、教学思想、教学设计，及时反映高等教育教学改革和社会、科技发展的成果，持续更新和完善课程教学资源。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资源组织</w:t>
            </w:r>
          </w:p>
        </w:tc>
        <w:tc>
          <w:tcPr>
            <w:tcW w:w="1002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sz w:val="24"/>
                <w:szCs w:val="24"/>
              </w:rPr>
              <w:t>各类基本资源均按照教学单元、专题或模块的框架，予以合理、有序的组织、配置和应用，与知识点、技能点对应清晰，导航简明。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教学录像</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教学录像与教学大纲或教学日历匹配，进程合理；课程内容完整，授课人表述准确。教学录像布局合理，能充分展现课堂教学活动实况和本课程特色，录像制作水平较高，图像、声音播放清晰流畅。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教案或演示文稿</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教案或演示文稿经过精心设计和制作，内容准确、系统、完整，有助于提高学生学习兴趣和教学效果。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其他基本资源</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重点难点指导、作业、参考资料目录及其他类型基本资源契合教学要求，针对性、适用性强，对提高教学效果有实质性帮助。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0" w:hRule="atLeast"/>
          <w:tblCellSpacing w:w="7" w:type="dxa"/>
          <w:jc w:val="center"/>
        </w:trPr>
        <w:tc>
          <w:tcPr>
            <w:tcW w:w="248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知识产权保护（10分）</w:t>
            </w:r>
          </w:p>
        </w:tc>
        <w:tc>
          <w:tcPr>
            <w:tcW w:w="217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原创性和非原创性资源处理</w:t>
            </w:r>
          </w:p>
        </w:tc>
        <w:tc>
          <w:tcPr>
            <w:tcW w:w="1002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bCs/>
                <w:sz w:val="24"/>
                <w:szCs w:val="24"/>
              </w:rPr>
              <w:t>知识产权清晰。原创性资源比例较高。非原创性资源，除为介绍、评论某一作品或者说明某一问题，适当引用已经发表作品的非原创性资源，且已指明作品的名称和作者的姓名（名称）外，均已获得许可使用的授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79" w:hRule="atLeast"/>
          <w:tblCellSpacing w:w="7" w:type="dxa"/>
          <w:jc w:val="center"/>
        </w:trPr>
        <w:tc>
          <w:tcPr>
            <w:tcW w:w="2483"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建设成果（25分）</w:t>
            </w:r>
          </w:p>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建设成果的创新性</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79" w:hRule="atLeast"/>
          <w:tblCellSpacing w:w="7" w:type="dxa"/>
          <w:jc w:val="center"/>
        </w:trPr>
        <w:tc>
          <w:tcPr>
            <w:tcW w:w="2483" w:type="dxa"/>
            <w:vMerge w:val="continue"/>
            <w:shd w:val="clear" w:color="auto" w:fill="auto"/>
            <w:vAlign w:val="center"/>
          </w:tcPr>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开放共享情况</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已建设开放的网络平台并开通较为畅通的共享渠道，课程网上共享已具有一定的点击量，受到好评。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79" w:hRule="atLeast"/>
          <w:tblCellSpacing w:w="7" w:type="dxa"/>
          <w:jc w:val="center"/>
        </w:trPr>
        <w:tc>
          <w:tcPr>
            <w:tcW w:w="2483" w:type="dxa"/>
            <w:vMerge w:val="continue"/>
            <w:shd w:val="clear" w:color="auto" w:fill="auto"/>
            <w:vAlign w:val="center"/>
          </w:tcPr>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成果价值</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建设成果</w:t>
            </w:r>
            <w:r>
              <w:rPr>
                <w:rFonts w:hint="eastAsia" w:ascii="仿宋_GB2312" w:eastAsia="仿宋_GB2312" w:hAnsiTheme="minorEastAsia"/>
                <w:sz w:val="24"/>
                <w:szCs w:val="24"/>
              </w:rPr>
              <w:t>起到良好的示范作用，对教学改革及提高人才培养质量起到积极的促进作用</w:t>
            </w:r>
            <w:r>
              <w:rPr>
                <w:rFonts w:hint="eastAsia" w:ascii="仿宋_GB2312" w:eastAsia="仿宋_GB2312" w:hAnsiTheme="minorEastAsia"/>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1" w:hRule="atLeast"/>
          <w:tblCellSpacing w:w="7" w:type="dxa"/>
          <w:jc w:val="center"/>
        </w:trPr>
        <w:tc>
          <w:tcPr>
            <w:tcW w:w="2483" w:type="dxa"/>
            <w:vMerge w:val="continue"/>
            <w:shd w:val="clear" w:color="auto" w:fill="auto"/>
            <w:vAlign w:val="center"/>
          </w:tcPr>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推广及影响力</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本课程的资源已在高校推广应用，对同类课程的教学质量提升发挥积极作用，对社会学习者的自主学习提供有益帮助。</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pStyle w:val="2"/>
        <w:bidi w:val="0"/>
      </w:pPr>
      <w:bookmarkStart w:id="5" w:name="_Toc26694"/>
      <w:r>
        <w:rPr>
          <w:rFonts w:hint="eastAsia"/>
        </w:rPr>
        <w:t>广东省高等教育教学改革项目验收指标（试行）</w:t>
      </w:r>
      <w:bookmarkEnd w:id="5"/>
    </w:p>
    <w:tbl>
      <w:tblPr>
        <w:tblStyle w:val="9"/>
        <w:tblW w:w="14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2268"/>
        <w:gridCol w:w="10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26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3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指标内涵说明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vMerge w:val="continue"/>
            <w:shd w:val="clear" w:color="auto" w:fill="auto"/>
            <w:vAlign w:val="center"/>
          </w:tcPr>
          <w:p>
            <w:pPr>
              <w:jc w:val="cente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项目团队基础（10分）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项目团队</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项目负责人学术水平较高且具体主持该项目，项目团队职称、学历及学科背景结构合理，团队各成员间分工协作良好。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项目实施及建设情况（35分）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建设实施情况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项目按照既定实施方案进行建设，对于各阶段建设任务及完成情况都有清晰阐述。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改革举措落实情况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项目申报时预设的各项改革举措如期实施，计划解决的问题已如期得到解决。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保障和支持情况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项目实施过程中得到了学校充足的经费保障和政策支持，能够调动项目需要的研究资源和设备。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建设成果和应用推广（35分）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项目选题和建设成果具有理论和现实意义，对推动我省相关领域教学改革和教学水平提高具有促进作用；项目成果新颖，水平层次较高，有具体的实践成果。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项目建设成果消化、吸收、应用和整合、集成、深化已有教学改革成果，具有较高的应用推广价值并在本校教学实践中得到有效应用，解决了本学校或本专业教学实践过程中的困难和问题。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共享和推广</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项目成果受益面广，已在本校相关专业或同类院校中得到应用和推广，或项目建设成果已其他单位完整采纳。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项目特色（10分）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项目水平与特色</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项目在专业与课程建设、教材、教学软件等教学基本建设、教学管理运行机制、教学方法改革、人才培养及教学质量保障机制等方面具有的较高水平，具有自身特色。</w:t>
            </w:r>
          </w:p>
        </w:tc>
      </w:tr>
    </w:tbl>
    <w:p>
      <w:pPr>
        <w:jc w:val="both"/>
        <w:rPr>
          <w:rFonts w:ascii="仿宋_GB2312" w:eastAsia="仿宋_GB2312"/>
          <w:b/>
          <w:sz w:val="30"/>
          <w:szCs w:val="30"/>
        </w:rPr>
      </w:pPr>
    </w:p>
    <w:p>
      <w:pPr>
        <w:pStyle w:val="2"/>
        <w:bidi w:val="0"/>
      </w:pPr>
      <w:bookmarkStart w:id="6" w:name="_Toc16825"/>
      <w:r>
        <w:rPr>
          <w:rFonts w:hint="eastAsia"/>
        </w:rPr>
        <w:t>广东省普通高等学校特色专业建设点评审指标（试行）</w:t>
      </w:r>
      <w:bookmarkEnd w:id="6"/>
    </w:p>
    <w:tbl>
      <w:tblPr>
        <w:tblStyle w:val="9"/>
        <w:tblW w:w="14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2419"/>
        <w:gridCol w:w="9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4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82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1.建设目标与支持保障（15分）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824" w:type="dxa"/>
            <w:vAlign w:val="center"/>
          </w:tcPr>
          <w:p>
            <w:pPr>
              <w:rPr>
                <w:rFonts w:ascii="仿宋_GB2312" w:eastAsia="仿宋_GB2312"/>
                <w:sz w:val="24"/>
                <w:szCs w:val="24"/>
              </w:rPr>
            </w:pPr>
            <w:r>
              <w:rPr>
                <w:rFonts w:hint="eastAsia" w:ascii="仿宋_GB2312" w:eastAsia="仿宋_GB2312"/>
                <w:sz w:val="24"/>
                <w:szCs w:val="24"/>
              </w:rPr>
              <w:t>专业定位准确，思路清晰，符合经济建设与社会发展需求，具有先进的教育思想观念，质量意识强。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专业建设措施</w:t>
            </w:r>
          </w:p>
        </w:tc>
        <w:tc>
          <w:tcPr>
            <w:tcW w:w="9824" w:type="dxa"/>
            <w:vAlign w:val="center"/>
          </w:tcPr>
          <w:p>
            <w:pPr>
              <w:rPr>
                <w:rFonts w:ascii="仿宋_GB2312" w:eastAsia="仿宋_GB2312"/>
                <w:sz w:val="24"/>
                <w:szCs w:val="24"/>
              </w:rPr>
            </w:pPr>
            <w:r>
              <w:rPr>
                <w:rFonts w:hint="eastAsia" w:ascii="仿宋_GB2312" w:eastAsia="仿宋_GB2312"/>
                <w:sz w:val="24"/>
                <w:szCs w:val="24"/>
              </w:rPr>
              <w:t>专业发展规划科学合理, 分期建设目标明确，体现学科优势和特色。专业建设措施得力，成效显著。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支持保障</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在专业发展、课程和教材建设、人才引进和青年教师培训等方面有切实有效的政策支持和经费保障。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2.师资队伍（15分）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整体结构</w:t>
            </w:r>
          </w:p>
        </w:tc>
        <w:tc>
          <w:tcPr>
            <w:tcW w:w="9824" w:type="dxa"/>
            <w:vAlign w:val="center"/>
          </w:tcPr>
          <w:p>
            <w:pPr>
              <w:rPr>
                <w:rFonts w:ascii="仿宋_GB2312" w:eastAsia="仿宋_GB2312"/>
                <w:bCs/>
                <w:sz w:val="24"/>
                <w:szCs w:val="24"/>
              </w:rPr>
            </w:pPr>
            <w:r>
              <w:rPr>
                <w:rFonts w:hint="eastAsia" w:ascii="仿宋_GB2312" w:eastAsia="仿宋_GB2312"/>
                <w:sz w:val="24"/>
                <w:szCs w:val="24"/>
              </w:rPr>
              <w:t>队伍年龄结构、职称结构、学缘结构合理，发展趋势好。</w:t>
            </w:r>
            <w:r>
              <w:rPr>
                <w:rFonts w:hint="eastAsia" w:ascii="仿宋_GB2312" w:eastAsia="仿宋_GB2312"/>
                <w:bCs/>
                <w:sz w:val="24"/>
                <w:szCs w:val="24"/>
              </w:rPr>
              <w:t>教授、副教授比例较高，有高</w:t>
            </w:r>
            <w:r>
              <w:rPr>
                <w:rFonts w:hint="eastAsia" w:ascii="仿宋_GB2312" w:eastAsia="仿宋_GB2312"/>
                <w:sz w:val="24"/>
                <w:szCs w:val="24"/>
              </w:rPr>
              <w:t>水平、高学历学科专业带头人，并有效推动本专业的建设。形成专兼职结合的教师队伍。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824" w:type="dxa"/>
            <w:vAlign w:val="center"/>
          </w:tcPr>
          <w:p>
            <w:pPr>
              <w:rPr>
                <w:rFonts w:ascii="仿宋_GB2312" w:eastAsia="仿宋_GB2312"/>
                <w:sz w:val="24"/>
                <w:szCs w:val="24"/>
              </w:rPr>
            </w:pPr>
            <w:r>
              <w:rPr>
                <w:rFonts w:hint="eastAsia" w:ascii="仿宋_GB2312" w:eastAsia="仿宋_GB2312"/>
                <w:sz w:val="24"/>
                <w:szCs w:val="24"/>
              </w:rPr>
              <w:t>专业师资引进、培养规划和配套措施；有学校和行业、企业相结合的师资培养联动机制，能利用社会资源提升教师专业水平和实践能力。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教师素质</w:t>
            </w:r>
          </w:p>
        </w:tc>
        <w:tc>
          <w:tcPr>
            <w:tcW w:w="9824" w:type="dxa"/>
            <w:vAlign w:val="center"/>
          </w:tcPr>
          <w:p>
            <w:pPr>
              <w:rPr>
                <w:rFonts w:ascii="仿宋_GB2312" w:eastAsia="仿宋_GB2312"/>
                <w:sz w:val="24"/>
                <w:szCs w:val="24"/>
              </w:rPr>
            </w:pPr>
            <w:r>
              <w:rPr>
                <w:rFonts w:hint="eastAsia" w:ascii="仿宋_GB2312" w:eastAsia="仿宋_GB2312"/>
                <w:sz w:val="24"/>
                <w:szCs w:val="24"/>
              </w:rPr>
              <w:t xml:space="preserve">队伍整体素质高，有良好的科研背景和专业技术背景；专业主干课程由教授、副教授讲授；科研促进教学成效明显。项目立项以来，获省部级以上教学成果奖或同等层次的教学奖励超过1项。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3.教学条件（10分）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教学资源</w:t>
            </w:r>
          </w:p>
        </w:tc>
        <w:tc>
          <w:tcPr>
            <w:tcW w:w="9824" w:type="dxa"/>
            <w:vAlign w:val="center"/>
          </w:tcPr>
          <w:p>
            <w:pPr>
              <w:rPr>
                <w:rFonts w:ascii="仿宋_GB2312" w:eastAsia="仿宋_GB2312"/>
                <w:sz w:val="24"/>
                <w:szCs w:val="24"/>
              </w:rPr>
            </w:pPr>
            <w:r>
              <w:rPr>
                <w:rFonts w:hint="eastAsia" w:ascii="仿宋_GB2312" w:eastAsia="仿宋_GB2312"/>
                <w:sz w:val="24"/>
                <w:szCs w:val="24"/>
              </w:rPr>
              <w:t>教学基本设施（含实验室、实习基地、图书资料、校园网络建设等）能满足培养高素质人才的需要；充分开发、利用多种教学资源（如网上资源、电子教材等）。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824"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2367" w:type="dxa"/>
            <w:vMerge w:val="restart"/>
            <w:vAlign w:val="center"/>
          </w:tcPr>
          <w:p>
            <w:pPr>
              <w:rPr>
                <w:rFonts w:ascii="仿宋_GB2312" w:eastAsia="仿宋_GB2312"/>
                <w:bCs/>
                <w:sz w:val="24"/>
                <w:szCs w:val="24"/>
              </w:rPr>
            </w:pPr>
          </w:p>
          <w:p>
            <w:pPr>
              <w:rPr>
                <w:rFonts w:ascii="仿宋_GB2312" w:eastAsia="仿宋_GB2312"/>
                <w:bCs/>
                <w:sz w:val="24"/>
                <w:szCs w:val="24"/>
              </w:rPr>
            </w:pPr>
            <w:r>
              <w:rPr>
                <w:rFonts w:hint="eastAsia" w:ascii="仿宋_GB2312" w:eastAsia="仿宋_GB2312"/>
                <w:bCs/>
                <w:sz w:val="24"/>
                <w:szCs w:val="24"/>
              </w:rPr>
              <w:t>4.建设成果（45分）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824" w:type="dxa"/>
            <w:vAlign w:val="center"/>
          </w:tcPr>
          <w:p>
            <w:pPr>
              <w:rPr>
                <w:rFonts w:ascii="仿宋_GB2312" w:eastAsia="仿宋_GB2312"/>
                <w:sz w:val="24"/>
                <w:szCs w:val="24"/>
              </w:rPr>
            </w:pPr>
            <w:r>
              <w:rPr>
                <w:rFonts w:hint="eastAsia" w:ascii="仿宋_GB2312" w:eastAsia="仿宋_GB2312"/>
                <w:sz w:val="24"/>
                <w:szCs w:val="24"/>
              </w:rPr>
              <w:t>立足于区域文化和产业，社会发展需求制定人才培养方案；培养方案（计划）设计科学，具有显著的专业办学特色，很好地反映培养目标对知识、能力及素质的要求。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bCs/>
                <w:sz w:val="24"/>
                <w:szCs w:val="24"/>
              </w:rPr>
              <w:t>课程与教材建设</w:t>
            </w:r>
          </w:p>
        </w:tc>
        <w:tc>
          <w:tcPr>
            <w:tcW w:w="9824" w:type="dxa"/>
            <w:vAlign w:val="center"/>
          </w:tcPr>
          <w:p>
            <w:pPr>
              <w:rPr>
                <w:rFonts w:ascii="仿宋_GB2312" w:eastAsia="仿宋_GB2312"/>
                <w:sz w:val="24"/>
                <w:szCs w:val="24"/>
              </w:rPr>
            </w:pPr>
            <w:r>
              <w:rPr>
                <w:rFonts w:hint="eastAsia" w:ascii="仿宋_GB2312" w:eastAsia="仿宋_GB2312"/>
                <w:sz w:val="24"/>
                <w:szCs w:val="24"/>
              </w:rPr>
              <w:t>课程体系和教学内容改革符合创新创业人才培养的要求，课程改革与建设有计划、有措施、成效显著，</w:t>
            </w:r>
            <w:r>
              <w:rPr>
                <w:rFonts w:hint="eastAsia" w:ascii="仿宋_GB2312" w:eastAsia="仿宋_GB2312"/>
                <w:bCs/>
                <w:sz w:val="24"/>
                <w:szCs w:val="24"/>
              </w:rPr>
              <w:t>近五年建成省级以上精品开放课程≥1门；依托专业建设，形成一系列高水平的教材成果。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824"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实验教学体系建设（文科部分专业本条可适当放宽）</w:t>
            </w:r>
          </w:p>
        </w:tc>
        <w:tc>
          <w:tcPr>
            <w:tcW w:w="9824" w:type="dxa"/>
            <w:vAlign w:val="center"/>
          </w:tcPr>
          <w:p>
            <w:pPr>
              <w:rPr>
                <w:rFonts w:ascii="仿宋_GB2312" w:eastAsia="仿宋_GB2312"/>
                <w:sz w:val="24"/>
                <w:szCs w:val="24"/>
              </w:rPr>
            </w:pPr>
            <w:r>
              <w:rPr>
                <w:rFonts w:hint="eastAsia" w:ascii="仿宋_GB2312" w:eastAsia="仿宋_GB2312"/>
                <w:sz w:val="24"/>
                <w:szCs w:val="24"/>
              </w:rPr>
              <w:t>实践教学体系设计科学合理，及时动态更新。不断改革创新实践教学内容，开展多种形式的实践教学活动，创造条件促进学生较早参加科研和创新活动，实施效果良好；有稳定的校内外实习基地,能满足因材施教的实践教学要求；实习时间有保证,措施完善,效果好；实践教学队伍结构合理，满足教学需要；专业实验室场地充足、设备完善，运行投入常态化，开放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5.人才培养质量和社会声誉（15分）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人才培养质量</w:t>
            </w:r>
          </w:p>
        </w:tc>
        <w:tc>
          <w:tcPr>
            <w:tcW w:w="9824" w:type="dxa"/>
            <w:vAlign w:val="center"/>
          </w:tcPr>
          <w:p>
            <w:pPr>
              <w:rPr>
                <w:rFonts w:ascii="仿宋_GB2312" w:eastAsia="仿宋_GB2312"/>
                <w:sz w:val="24"/>
                <w:szCs w:val="24"/>
              </w:rPr>
            </w:pPr>
            <w:r>
              <w:rPr>
                <w:rFonts w:hint="eastAsia" w:ascii="仿宋_GB2312" w:eastAsia="仿宋_GB2312"/>
                <w:sz w:val="24"/>
                <w:szCs w:val="24"/>
              </w:rPr>
              <w:t>学生思想道德素养和文化素质水平较高；</w:t>
            </w:r>
            <w:r>
              <w:rPr>
                <w:rFonts w:hint="eastAsia" w:ascii="仿宋_GB2312" w:eastAsia="仿宋_GB2312"/>
                <w:bCs/>
                <w:sz w:val="24"/>
                <w:szCs w:val="24"/>
              </w:rPr>
              <w:t>学生创新精神和实践能力强。佐证材料中含有高水平的学生创新或获奖成果。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367" w:type="dxa"/>
            <w:vMerge w:val="continue"/>
            <w:vAlign w:val="center"/>
          </w:tcPr>
          <w:p>
            <w:pPr>
              <w:rPr>
                <w:rFonts w:ascii="仿宋_GB2312" w:eastAsia="仿宋_GB2312"/>
                <w:bCs/>
                <w:sz w:val="24"/>
                <w:szCs w:val="24"/>
              </w:rPr>
            </w:pPr>
          </w:p>
        </w:tc>
        <w:tc>
          <w:tcPr>
            <w:tcW w:w="2419"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社会声誉</w:t>
            </w:r>
          </w:p>
        </w:tc>
        <w:tc>
          <w:tcPr>
            <w:tcW w:w="9824" w:type="dxa"/>
            <w:vAlign w:val="center"/>
          </w:tcPr>
          <w:p>
            <w:pPr>
              <w:rPr>
                <w:rFonts w:ascii="仿宋_GB2312" w:eastAsia="仿宋_GB2312"/>
                <w:bCs/>
                <w:sz w:val="24"/>
                <w:szCs w:val="24"/>
              </w:rPr>
            </w:pPr>
            <w:r>
              <w:rPr>
                <w:rFonts w:hint="eastAsia" w:ascii="仿宋_GB2312" w:eastAsia="仿宋_GB2312"/>
                <w:sz w:val="24"/>
                <w:szCs w:val="24"/>
              </w:rPr>
              <w:t>毕业生的综合评价好。毕业生在社会上的声誉好，对经济社会发展贡献大。在同类学校或同类专业中反响好，</w:t>
            </w:r>
            <w:r>
              <w:rPr>
                <w:rFonts w:hint="eastAsia" w:ascii="仿宋_GB2312" w:eastAsia="仿宋_GB2312"/>
                <w:bCs/>
                <w:sz w:val="24"/>
                <w:szCs w:val="24"/>
              </w:rPr>
              <w:t>专业建设成果示范辐射作用成效显著，在国内有较大影响。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pStyle w:val="2"/>
        <w:bidi w:val="0"/>
      </w:pPr>
      <w:bookmarkStart w:id="7" w:name="_Toc9959"/>
      <w:r>
        <w:rPr>
          <w:rFonts w:hint="eastAsia"/>
        </w:rPr>
        <w:t>广东省教学团队验收标准（试行）</w:t>
      </w:r>
      <w:bookmarkEnd w:id="7"/>
    </w:p>
    <w:tbl>
      <w:tblPr>
        <w:tblStyle w:val="9"/>
        <w:tblW w:w="14664" w:type="dxa"/>
        <w:jc w:val="center"/>
        <w:tblLayout w:type="autofit"/>
        <w:tblCellMar>
          <w:top w:w="0" w:type="dxa"/>
          <w:left w:w="0" w:type="dxa"/>
          <w:bottom w:w="0" w:type="dxa"/>
          <w:right w:w="0" w:type="dxa"/>
        </w:tblCellMar>
      </w:tblPr>
      <w:tblGrid>
        <w:gridCol w:w="2422"/>
        <w:gridCol w:w="2129"/>
        <w:gridCol w:w="10113"/>
      </w:tblGrid>
      <w:tr>
        <w:tblPrEx>
          <w:tblCellMar>
            <w:top w:w="0" w:type="dxa"/>
            <w:left w:w="0" w:type="dxa"/>
            <w:bottom w:w="0" w:type="dxa"/>
            <w:right w:w="0" w:type="dxa"/>
          </w:tblCellMar>
        </w:tblPrEx>
        <w:trPr>
          <w:cantSplit/>
          <w:trHeight w:val="426" w:hRule="atLeast"/>
          <w:jc w:val="center"/>
        </w:trPr>
        <w:tc>
          <w:tcPr>
            <w:tcW w:w="2422" w:type="dxa"/>
            <w:tcBorders>
              <w:top w:val="single" w:color="auto" w:sz="12" w:space="0"/>
              <w:left w:val="single" w:color="auto" w:sz="12"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一级指标</w:t>
            </w:r>
          </w:p>
        </w:tc>
        <w:tc>
          <w:tcPr>
            <w:tcW w:w="2129" w:type="dxa"/>
            <w:tcBorders>
              <w:top w:val="single" w:color="auto" w:sz="12" w:space="0"/>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二级指标</w:t>
            </w:r>
          </w:p>
        </w:tc>
        <w:tc>
          <w:tcPr>
            <w:tcW w:w="10113" w:type="dxa"/>
            <w:tcBorders>
              <w:top w:val="single" w:color="auto" w:sz="12" w:space="0"/>
              <w:left w:val="nil"/>
              <w:bottom w:val="single" w:color="auto" w:sz="8" w:space="0"/>
              <w:right w:val="single" w:color="auto" w:sz="12"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评　审　标　准</w:t>
            </w:r>
          </w:p>
        </w:tc>
      </w:tr>
      <w:tr>
        <w:tblPrEx>
          <w:tblCellMar>
            <w:top w:w="0" w:type="dxa"/>
            <w:left w:w="0" w:type="dxa"/>
            <w:bottom w:w="0" w:type="dxa"/>
            <w:right w:w="0" w:type="dxa"/>
          </w:tblCellMar>
        </w:tblPrEx>
        <w:trPr>
          <w:cantSplit/>
          <w:trHeight w:val="1432"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numPr>
                <w:ilvl w:val="0"/>
                <w:numId w:val="1"/>
              </w:numPr>
              <w:rPr>
                <w:rFonts w:ascii="仿宋_GB2312" w:eastAsia="仿宋_GB2312"/>
                <w:sz w:val="24"/>
                <w:szCs w:val="24"/>
              </w:rPr>
            </w:pPr>
            <w:r>
              <w:rPr>
                <w:rFonts w:hint="eastAsia" w:ascii="仿宋_GB2312" w:eastAsia="仿宋_GB2312"/>
                <w:bCs/>
                <w:sz w:val="24"/>
                <w:szCs w:val="24"/>
              </w:rPr>
              <w:t>团队建设（25分</w:t>
            </w:r>
            <w:r>
              <w:rPr>
                <w:rFonts w:hint="eastAsia" w:ascii="仿宋_GB2312" w:eastAsia="仿宋_GB2312"/>
                <w:sz w:val="24"/>
                <w:szCs w:val="24"/>
              </w:rPr>
              <w:t>）</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团队建设基础</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单位与教研室、研究所、实验室、教学基地、实训基地和工程中心等组织机构建设紧密结合，设置合理；以系列课程或专业搭建的团队建设平台，符合学校课程建设和学科（专业）建设的实际；团队具有多年教学改革与实践的基础，团队成员的教学水平和科研水平高；团队教风建设成效明显，师德高尚，教书育人氛围好，整体教学效果优良。</w:t>
            </w:r>
          </w:p>
        </w:tc>
      </w:tr>
      <w:tr>
        <w:tblPrEx>
          <w:tblCellMar>
            <w:top w:w="0" w:type="dxa"/>
            <w:left w:w="0" w:type="dxa"/>
            <w:bottom w:w="0" w:type="dxa"/>
            <w:right w:w="0" w:type="dxa"/>
          </w:tblCellMar>
        </w:tblPrEx>
        <w:trPr>
          <w:cantSplit/>
          <w:trHeight w:val="1223"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团队结构</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团队具有良好的梯队结构，老、中、青结合，可持续发展趋势好；团队学缘结构、职称结构、知识结构合理，规模适度；团队成员整体素质高，具有博士及以上学位教师的比例高，具有良好的合作精神。</w:t>
            </w:r>
          </w:p>
        </w:tc>
      </w:tr>
      <w:tr>
        <w:tblPrEx>
          <w:tblCellMar>
            <w:top w:w="0" w:type="dxa"/>
            <w:left w:w="0" w:type="dxa"/>
            <w:bottom w:w="0" w:type="dxa"/>
            <w:right w:w="0" w:type="dxa"/>
          </w:tblCellMar>
        </w:tblPrEx>
        <w:trPr>
          <w:cantSplit/>
          <w:trHeight w:val="1195"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 </w:t>
            </w:r>
          </w:p>
          <w:p>
            <w:pPr>
              <w:rPr>
                <w:rFonts w:ascii="仿宋_GB2312" w:eastAsia="仿宋_GB2312"/>
                <w:sz w:val="24"/>
                <w:szCs w:val="24"/>
              </w:rPr>
            </w:pPr>
            <w:r>
              <w:rPr>
                <w:rFonts w:hint="eastAsia" w:ascii="仿宋_GB2312" w:eastAsia="仿宋_GB2312"/>
                <w:bCs/>
                <w:sz w:val="24"/>
                <w:szCs w:val="24"/>
              </w:rPr>
              <w:t>⒉团队带头人（15分）</w:t>
            </w:r>
          </w:p>
          <w:p>
            <w:pPr>
              <w:rPr>
                <w:rFonts w:ascii="仿宋_GB2312" w:eastAsia="仿宋_GB2312"/>
                <w:sz w:val="24"/>
                <w:szCs w:val="24"/>
              </w:rPr>
            </w:pPr>
            <w:r>
              <w:rPr>
                <w:rFonts w:hint="eastAsia" w:ascii="仿宋_GB2312" w:eastAsia="仿宋_GB2312"/>
                <w:sz w:val="24"/>
                <w:szCs w:val="24"/>
              </w:rPr>
              <w:t> </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学术地位</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应为本学科(专业)领域的专家，教授职称，具有较强的指导研究生和青年教师的能力；近五年主持省部级以上科研项目多，具有较高的学术水平，形成独有建树的学术思想，为本学科发展做出较突出的贡献。</w:t>
            </w:r>
          </w:p>
        </w:tc>
      </w:tr>
      <w:tr>
        <w:tblPrEx>
          <w:tblCellMar>
            <w:top w:w="0" w:type="dxa"/>
            <w:left w:w="0" w:type="dxa"/>
            <w:bottom w:w="0" w:type="dxa"/>
            <w:right w:w="0" w:type="dxa"/>
          </w:tblCellMar>
        </w:tblPrEx>
        <w:trPr>
          <w:cantSplit/>
          <w:trHeight w:val="1197"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学术成果</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近五年主持过省部级以上教改项目、精品开放课程或主编过省级以上精品教材或国际规划教材，取得的成果在同领域学科专业内影响力较大；教学工作成绩突出，获得的其它省部级以上教学奖励；作为主要完成人获得过省部级以上教学成果奖或获得省级以上教学名师称号。</w:t>
            </w:r>
          </w:p>
        </w:tc>
      </w:tr>
      <w:tr>
        <w:tblPrEx>
          <w:tblCellMar>
            <w:top w:w="0" w:type="dxa"/>
            <w:left w:w="0" w:type="dxa"/>
            <w:bottom w:w="0" w:type="dxa"/>
            <w:right w:w="0" w:type="dxa"/>
          </w:tblCellMar>
        </w:tblPrEx>
        <w:trPr>
          <w:cantSplit/>
          <w:trHeight w:val="1199" w:hRule="atLeast"/>
          <w:jc w:val="center"/>
        </w:trPr>
        <w:tc>
          <w:tcPr>
            <w:tcW w:w="2422" w:type="dxa"/>
            <w:vMerge w:val="continue"/>
            <w:tcBorders>
              <w:top w:val="nil"/>
              <w:left w:val="single" w:color="auto" w:sz="12" w:space="0"/>
              <w:bottom w:val="single" w:color="auto" w:sz="4"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课程建设与授课</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长期致力于团队课程建设并做出重要贡献，熟悉本学科专业及课程体系的教育教学改革趋势，或主持过省级以上有关教学内容与课程体系改革的项目；承担团队核心课程主讲任务，坚持每学年在本校为本科生讲授专业课一门以上，教学效果优秀。</w:t>
            </w:r>
          </w:p>
        </w:tc>
      </w:tr>
      <w:tr>
        <w:tblPrEx>
          <w:tblCellMar>
            <w:top w:w="0" w:type="dxa"/>
            <w:left w:w="0" w:type="dxa"/>
            <w:bottom w:w="0" w:type="dxa"/>
            <w:right w:w="0" w:type="dxa"/>
          </w:tblCellMar>
        </w:tblPrEx>
        <w:trPr>
          <w:cantSplit/>
          <w:trHeight w:val="1116" w:hRule="atLeast"/>
          <w:jc w:val="center"/>
        </w:trPr>
        <w:tc>
          <w:tcPr>
            <w:tcW w:w="2422"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3．团队教学工作（30分）</w:t>
            </w:r>
          </w:p>
        </w:tc>
        <w:tc>
          <w:tcPr>
            <w:tcW w:w="2129" w:type="dxa"/>
            <w:tcBorders>
              <w:top w:val="single" w:color="auto" w:sz="4" w:space="0"/>
              <w:left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教学资源建设</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课程体系科学、完整；专业课程的教学内容能够反映行业现状、追踪学科（专业）前沿。出台教材编写规划和鼓励教材研究的政策、措施；近五年承担过国家级规划教材主编任务，教材出版层次高。自编教材特色鲜明，使用效果好。</w:t>
            </w:r>
          </w:p>
        </w:tc>
      </w:tr>
      <w:tr>
        <w:tblPrEx>
          <w:tblCellMar>
            <w:top w:w="0" w:type="dxa"/>
            <w:left w:w="0" w:type="dxa"/>
            <w:bottom w:w="0" w:type="dxa"/>
            <w:right w:w="0" w:type="dxa"/>
          </w:tblCellMar>
        </w:tblPrEx>
        <w:trPr>
          <w:cantSplit/>
          <w:trHeight w:val="1424" w:hRule="atLeast"/>
          <w:jc w:val="center"/>
        </w:trPr>
        <w:tc>
          <w:tcPr>
            <w:tcW w:w="2422" w:type="dxa"/>
            <w:vMerge w:val="continue"/>
            <w:tcBorders>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教学成果</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主持过省级特色专业、重点专业、省级精品课程、省级实验教学示范中心等质量工程项目建设；团队教学改革成果显著，获得过国家级、省部级教学成果奖励二等奖以上奖励；获省级立项以来团队承担的省部级以上教学改革项目多、经费多、项目来源级别高；团队公开发表的教学改革论文（著）数量多、质量高，教学改革论文反映出最新的教学研究成果，创新性强。</w:t>
            </w:r>
          </w:p>
        </w:tc>
      </w:tr>
      <w:tr>
        <w:tblPrEx>
          <w:tblCellMar>
            <w:top w:w="0" w:type="dxa"/>
            <w:left w:w="0" w:type="dxa"/>
            <w:bottom w:w="0" w:type="dxa"/>
            <w:right w:w="0" w:type="dxa"/>
          </w:tblCellMar>
        </w:tblPrEx>
        <w:trPr>
          <w:cantSplit/>
          <w:trHeight w:val="1055" w:hRule="atLeast"/>
          <w:jc w:val="center"/>
        </w:trPr>
        <w:tc>
          <w:tcPr>
            <w:tcW w:w="2422"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教学改革</w:t>
            </w:r>
          </w:p>
        </w:tc>
        <w:tc>
          <w:tcPr>
            <w:tcW w:w="10113" w:type="dxa"/>
            <w:tcBorders>
              <w:top w:val="single" w:color="auto" w:sz="4" w:space="0"/>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积极参加教学改革实践，致力于人才培养模式改革和教学质量提升，团队支持和鼓励教学改革与创新的政策、措施具体有力；教学改革特色鲜明，特色点符合团队建设目标，如团队设置特色、专业特色、课程特色等且具有推广应用价值。</w:t>
            </w:r>
          </w:p>
        </w:tc>
      </w:tr>
      <w:tr>
        <w:tblPrEx>
          <w:tblCellMar>
            <w:top w:w="0" w:type="dxa"/>
            <w:left w:w="0" w:type="dxa"/>
            <w:bottom w:w="0" w:type="dxa"/>
            <w:right w:w="0" w:type="dxa"/>
          </w:tblCellMar>
        </w:tblPrEx>
        <w:trPr>
          <w:cantSplit/>
          <w:trHeight w:val="1499" w:hRule="atLeast"/>
          <w:jc w:val="center"/>
        </w:trPr>
        <w:tc>
          <w:tcPr>
            <w:tcW w:w="2422"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4．团队梯队培养与发展规划（20分）</w:t>
            </w: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培养中青年教师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有指导和激励中青年教师提高专业素质和业务水平（包括国内外进修学习、参加各种学术会议、提高社会实践能力）等方面的计划，且科学、措施得力；形成了传帮带的稳定机制，团队建设具有可持续性，青年教师培养成效显著；具备吸引外来教师进修学习的学科（专业）或课程优势，有接受教师进修学习的管理规定、办法，效果好。</w:t>
            </w:r>
          </w:p>
        </w:tc>
      </w:tr>
      <w:tr>
        <w:tblPrEx>
          <w:tblCellMar>
            <w:top w:w="0" w:type="dxa"/>
            <w:left w:w="0" w:type="dxa"/>
            <w:bottom w:w="0" w:type="dxa"/>
            <w:right w:w="0" w:type="dxa"/>
          </w:tblCellMar>
        </w:tblPrEx>
        <w:trPr>
          <w:cantSplit/>
          <w:trHeight w:val="903" w:hRule="atLeast"/>
          <w:jc w:val="center"/>
        </w:trPr>
        <w:tc>
          <w:tcPr>
            <w:tcW w:w="242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带动作用</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团队建设目标明确、具体，符合学校发展定位，为学校培养新的省级团队做出探索和贡献，对其他团队建设，具有辐射带动作用。</w:t>
            </w:r>
          </w:p>
        </w:tc>
      </w:tr>
      <w:tr>
        <w:tblPrEx>
          <w:tblCellMar>
            <w:top w:w="0" w:type="dxa"/>
            <w:left w:w="0" w:type="dxa"/>
            <w:bottom w:w="0" w:type="dxa"/>
            <w:right w:w="0" w:type="dxa"/>
          </w:tblCellMar>
        </w:tblPrEx>
        <w:trPr>
          <w:cantSplit/>
          <w:trHeight w:val="739" w:hRule="atLeast"/>
          <w:jc w:val="center"/>
        </w:trPr>
        <w:tc>
          <w:tcPr>
            <w:tcW w:w="2422" w:type="dxa"/>
            <w:vMerge w:val="restart"/>
            <w:tcBorders>
              <w:top w:val="single" w:color="auto" w:sz="4" w:space="0"/>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5．团队科研与教研（10分）</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科研情况</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团队承担的科研项目多、经费多、项目来源级别高；科技成果转化取得显著的社会效益和经济效益；在国内外学术刊物上发表的科研论文数量多，水平高。</w:t>
            </w:r>
          </w:p>
        </w:tc>
      </w:tr>
      <w:tr>
        <w:tblPrEx>
          <w:tblCellMar>
            <w:top w:w="0" w:type="dxa"/>
            <w:left w:w="0" w:type="dxa"/>
            <w:bottom w:w="0" w:type="dxa"/>
            <w:right w:w="0" w:type="dxa"/>
          </w:tblCellMar>
        </w:tblPrEx>
        <w:trPr>
          <w:cantSplit/>
          <w:trHeight w:val="1050"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科研与教学的结合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形成了科研促进教学的有效机制，包括组织机构与人员等，为科研转化教学提供了制度保障；科研成果在教学活动中得到应用，科研促进教学作用明显，人才培养效果好。</w:t>
            </w:r>
          </w:p>
        </w:tc>
      </w:tr>
    </w:tbl>
    <w:p>
      <w:pPr>
        <w:rPr>
          <w:rFonts w:ascii="仿宋_GB2312" w:eastAsia="仿宋_GB2312"/>
          <w:sz w:val="24"/>
          <w:szCs w:val="24"/>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pStyle w:val="2"/>
        <w:bidi w:val="0"/>
      </w:pPr>
      <w:bookmarkStart w:id="8" w:name="_Toc23097"/>
      <w:r>
        <w:rPr>
          <w:rFonts w:hint="eastAsia"/>
        </w:rPr>
        <w:t>广东省大学生校外实践教学基地验收评审指标体系（试行）</w:t>
      </w:r>
      <w:bookmarkEnd w:id="8"/>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708"/>
        <w:gridCol w:w="10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93" w:type="pct"/>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一级指标</w:t>
            </w:r>
          </w:p>
        </w:tc>
        <w:tc>
          <w:tcPr>
            <w:tcW w:w="895" w:type="pct"/>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二级指标</w:t>
            </w:r>
          </w:p>
        </w:tc>
        <w:tc>
          <w:tcPr>
            <w:tcW w:w="3312" w:type="pct"/>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vMerge w:val="continue"/>
            <w:vAlign w:val="center"/>
          </w:tcPr>
          <w:p>
            <w:pPr>
              <w:widowControl/>
              <w:spacing w:line="360" w:lineRule="exact"/>
              <w:jc w:val="center"/>
              <w:rPr>
                <w:rFonts w:ascii="仿宋_GB2312" w:eastAsia="仿宋_GB2312"/>
                <w:b/>
                <w:sz w:val="24"/>
                <w:szCs w:val="24"/>
              </w:rPr>
            </w:pPr>
          </w:p>
        </w:tc>
        <w:tc>
          <w:tcPr>
            <w:tcW w:w="0" w:type="auto"/>
            <w:vMerge w:val="continue"/>
            <w:vAlign w:val="center"/>
          </w:tcPr>
          <w:p>
            <w:pPr>
              <w:widowControl/>
              <w:spacing w:line="360" w:lineRule="exact"/>
              <w:jc w:val="left"/>
              <w:rPr>
                <w:rFonts w:ascii="仿宋_GB2312" w:eastAsia="仿宋_GB2312"/>
                <w:b/>
                <w:sz w:val="24"/>
                <w:szCs w:val="24"/>
              </w:rPr>
            </w:pPr>
          </w:p>
        </w:tc>
        <w:tc>
          <w:tcPr>
            <w:tcW w:w="0" w:type="auto"/>
            <w:vMerge w:val="continue"/>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continue"/>
            <w:tcBorders>
              <w:bottom w:val="single" w:color="auto" w:sz="4" w:space="0"/>
            </w:tcBorders>
            <w:vAlign w:val="center"/>
          </w:tcPr>
          <w:p>
            <w:pPr>
              <w:widowControl/>
              <w:spacing w:line="360" w:lineRule="exact"/>
              <w:jc w:val="center"/>
              <w:rPr>
                <w:rFonts w:ascii="仿宋_GB2312" w:eastAsia="仿宋_GB2312"/>
                <w:b/>
                <w:sz w:val="24"/>
                <w:szCs w:val="24"/>
              </w:rPr>
            </w:pPr>
          </w:p>
        </w:tc>
        <w:tc>
          <w:tcPr>
            <w:tcW w:w="0" w:type="auto"/>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c>
          <w:tcPr>
            <w:tcW w:w="0" w:type="auto"/>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793" w:type="pct"/>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建设基本情况</w:t>
            </w:r>
          </w:p>
          <w:p>
            <w:pPr>
              <w:spacing w:line="360" w:lineRule="exact"/>
              <w:jc w:val="center"/>
              <w:rPr>
                <w:rFonts w:ascii="仿宋_GB2312" w:eastAsia="仿宋_GB2312"/>
                <w:sz w:val="24"/>
                <w:szCs w:val="24"/>
              </w:rPr>
            </w:pPr>
            <w:r>
              <w:rPr>
                <w:rFonts w:hint="eastAsia" w:ascii="仿宋_GB2312" w:eastAsia="仿宋_GB2312"/>
                <w:sz w:val="24"/>
                <w:szCs w:val="24"/>
              </w:rPr>
              <w:t>（75分）</w:t>
            </w: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实践教学</w:t>
            </w:r>
          </w:p>
        </w:tc>
        <w:tc>
          <w:tcPr>
            <w:tcW w:w="3312" w:type="pct"/>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构建了相对完善的实践教学体系，基地建设思路清晰；企业深度参与基地教学，校企共同制定教学目标、培养方案和考核标准，共同开发课程体系和实践项目；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师资建设</w:t>
            </w:r>
          </w:p>
        </w:tc>
        <w:tc>
          <w:tcPr>
            <w:tcW w:w="3312" w:type="pct"/>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双方建立稳定的合作关系，双方共同培养实践教师队伍，开展了师资互聘交流，有较多高水平学科专家、行业企业专家参与指导实践教学；实践教学队伍由高校专任教师和企业兼职教师组成，教师队伍具有专业领域实践经历，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条件建设</w:t>
            </w:r>
          </w:p>
        </w:tc>
        <w:tc>
          <w:tcPr>
            <w:tcW w:w="3312" w:type="pct"/>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的面积、空间、结构布局科学合理，安全、环保符合国家标准，应急设施和措施完备，软硬件设施完善，满足教学需要；与实验室和实验教学示范中心等校内实践实验场地能够互补，形成完备的实践实验教学条件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管理制度</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教学运行、学生管理、安全保障、资金使用等规章制度完善，激励约束机制健全；管理制度规范化、人性化，以学生为本；管理层次完善，目标责任明确，运行机制合理。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建设成效</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校企深度融合，校外实践教学体系完备，共同开发的实践课程资源丰富，共同编写教材和并建立了实训项目库；依托实践基地，学生实践能力和创新能力显著提升，创新创业项目、专利发明、论文发表数量有所增加；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93" w:type="pct"/>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基地运行情况</w:t>
            </w:r>
          </w:p>
          <w:p>
            <w:pPr>
              <w:spacing w:line="360" w:lineRule="exact"/>
              <w:jc w:val="center"/>
              <w:rPr>
                <w:rFonts w:ascii="仿宋_GB2312" w:eastAsia="仿宋_GB2312"/>
                <w:sz w:val="24"/>
                <w:szCs w:val="24"/>
              </w:rPr>
            </w:pPr>
            <w:r>
              <w:rPr>
                <w:rFonts w:hint="eastAsia" w:ascii="仿宋_GB2312" w:eastAsia="仿宋_GB2312"/>
                <w:sz w:val="24"/>
                <w:szCs w:val="24"/>
              </w:rPr>
              <w:t>（20分）</w:t>
            </w: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满足学生实践需求</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场地、设备、实践条件等满足本校相关专业学生实践需求。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基地开放共享</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基地面向其他高校开放，与其他学校、单位建立开放共享机制。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经费使用情况</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基地运行经费充足，能够满足实践教学运转需要且运行经费投入制度化，经费保障制度完备；合作单位对基地的建设运营投入经费，支持基地发展。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93" w:type="pct"/>
            <w:vAlign w:val="center"/>
          </w:tcPr>
          <w:p>
            <w:pPr>
              <w:spacing w:line="360" w:lineRule="exact"/>
              <w:jc w:val="center"/>
              <w:rPr>
                <w:rFonts w:ascii="仿宋_GB2312" w:eastAsia="仿宋_GB2312"/>
                <w:sz w:val="24"/>
                <w:szCs w:val="24"/>
              </w:rPr>
            </w:pPr>
            <w:r>
              <w:rPr>
                <w:rFonts w:hint="eastAsia" w:ascii="仿宋_GB2312" w:eastAsia="仿宋_GB2312"/>
                <w:sz w:val="24"/>
                <w:szCs w:val="24"/>
              </w:rPr>
              <w:t>特色与创新</w:t>
            </w:r>
          </w:p>
          <w:p>
            <w:pPr>
              <w:spacing w:line="360" w:lineRule="exact"/>
              <w:jc w:val="center"/>
              <w:rPr>
                <w:rFonts w:ascii="仿宋_GB2312" w:eastAsia="仿宋_GB2312"/>
                <w:sz w:val="24"/>
                <w:szCs w:val="24"/>
              </w:rPr>
            </w:pPr>
            <w:r>
              <w:rPr>
                <w:rFonts w:hint="eastAsia" w:ascii="仿宋_GB2312" w:eastAsia="仿宋_GB2312"/>
                <w:sz w:val="24"/>
                <w:szCs w:val="24"/>
              </w:rPr>
              <w:t>（5分）</w:t>
            </w: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特色与创新</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基地建设富有自身特色，在实践教学、师资队伍、条件建设、管理模式、运作管理、能力培养等方面具有独特的、创新性的做法，且在全省乃至全国范围内具有推广应用价值。</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pStyle w:val="2"/>
        <w:bidi w:val="0"/>
      </w:pPr>
      <w:bookmarkStart w:id="9" w:name="_Toc12644"/>
      <w:r>
        <w:rPr>
          <w:rFonts w:hint="eastAsia"/>
        </w:rPr>
        <w:t>广东省省实验教学示范中心验收评审指标体系（试行）</w:t>
      </w:r>
      <w:bookmarkEnd w:id="9"/>
    </w:p>
    <w:tbl>
      <w:tblPr>
        <w:tblStyle w:val="9"/>
        <w:tblW w:w="15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9"/>
        <w:gridCol w:w="1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1944"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09"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198"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1944" w:type="dxa"/>
            <w:vMerge w:val="continue"/>
            <w:vAlign w:val="center"/>
          </w:tcPr>
          <w:p>
            <w:pPr>
              <w:rPr>
                <w:rFonts w:ascii="仿宋_GB2312" w:eastAsia="仿宋_GB2312"/>
                <w:b/>
                <w:sz w:val="24"/>
                <w:szCs w:val="24"/>
              </w:rPr>
            </w:pPr>
          </w:p>
        </w:tc>
        <w:tc>
          <w:tcPr>
            <w:tcW w:w="2109" w:type="dxa"/>
            <w:vMerge w:val="continue"/>
            <w:vAlign w:val="center"/>
          </w:tcPr>
          <w:p>
            <w:pPr>
              <w:jc w:val="center"/>
              <w:rPr>
                <w:rFonts w:ascii="仿宋_GB2312" w:eastAsia="仿宋_GB2312"/>
                <w:b/>
                <w:sz w:val="24"/>
                <w:szCs w:val="24"/>
              </w:rPr>
            </w:pPr>
          </w:p>
        </w:tc>
        <w:tc>
          <w:tcPr>
            <w:tcW w:w="11198" w:type="dxa"/>
            <w:vMerge w:val="continue"/>
            <w:vAlign w:val="center"/>
          </w:tcPr>
          <w:p>
            <w:pP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实验教学（30分）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教学体系</w:t>
            </w:r>
          </w:p>
        </w:tc>
        <w:tc>
          <w:tcPr>
            <w:tcW w:w="11198" w:type="dxa"/>
            <w:vAlign w:val="center"/>
          </w:tcPr>
          <w:p>
            <w:pPr>
              <w:rPr>
                <w:rFonts w:ascii="仿宋_GB2312" w:eastAsia="仿宋_GB2312"/>
                <w:sz w:val="24"/>
                <w:szCs w:val="24"/>
              </w:rPr>
            </w:pPr>
            <w:r>
              <w:rPr>
                <w:rFonts w:hint="eastAsia" w:ascii="仿宋_GB2312" w:eastAsia="仿宋_GB2312"/>
                <w:sz w:val="24"/>
                <w:szCs w:val="24"/>
              </w:rPr>
              <w:t>建立与理论教学有机结合,以能力培养为核心,分层次的实验教学体系，涵盖基本型实验、综合设计型实验、研究创新型实验等；教学内容注重传统与现代的结合，与科研、工程和社会应用实践密切联系,融入科技创新和实验教学改革成果；有自编实验教材，且水平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教学方法</w:t>
            </w:r>
          </w:p>
        </w:tc>
        <w:tc>
          <w:tcPr>
            <w:tcW w:w="11198" w:type="dxa"/>
            <w:vAlign w:val="center"/>
          </w:tcPr>
          <w:p>
            <w:pPr>
              <w:rPr>
                <w:rFonts w:ascii="仿宋_GB2312" w:eastAsia="仿宋_GB2312"/>
                <w:sz w:val="24"/>
                <w:szCs w:val="24"/>
              </w:rPr>
            </w:pPr>
            <w:r>
              <w:rPr>
                <w:rFonts w:hint="eastAsia" w:ascii="仿宋_GB2312" w:eastAsia="仿宋_GB2312"/>
                <w:sz w:val="24"/>
                <w:szCs w:val="24"/>
              </w:rPr>
              <w:t>重视实验技术研究，实验项目选择、实验方案设计有利于启发学生科学思维和创新意识；改进实验教学方法，建立以学生为中心的实验教学模式，形成以自主式、合作式、研究式为主的学习方式；实验教学手段先进，引入现代技术，融合多种方式辅助实验教学；建立多元实验考核方法，统筹考核实验过程与实验结果，激发学生实验兴趣，提高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教学效果</w:t>
            </w:r>
          </w:p>
        </w:tc>
        <w:tc>
          <w:tcPr>
            <w:tcW w:w="11198" w:type="dxa"/>
            <w:vAlign w:val="center"/>
          </w:tcPr>
          <w:p>
            <w:pPr>
              <w:rPr>
                <w:rFonts w:ascii="仿宋_GB2312" w:eastAsia="仿宋_GB2312"/>
                <w:sz w:val="24"/>
                <w:szCs w:val="24"/>
              </w:rPr>
            </w:pPr>
            <w:r>
              <w:rPr>
                <w:rFonts w:hint="eastAsia" w:ascii="仿宋_GB2312" w:eastAsia="仿宋_GB2312"/>
                <w:sz w:val="24"/>
                <w:szCs w:val="24"/>
              </w:rPr>
              <w:t>专业覆盖面广，实验开出率高，教学效果好，学生实验兴趣浓厚，对实验教学评价总体优良；学生实验基本技能宽厚扎实，实践创新能力强，实验创新成果多，学生有正式发表的论文或省部级以上竞赛奖等；实验教学成果丰富，正式发表的高水平实验教学论文多，承担省部级以上教学改革项目，成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教学队伍（20分）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制度建设</w:t>
            </w:r>
          </w:p>
        </w:tc>
        <w:tc>
          <w:tcPr>
            <w:tcW w:w="11198" w:type="dxa"/>
            <w:vAlign w:val="center"/>
          </w:tcPr>
          <w:p>
            <w:pPr>
              <w:rPr>
                <w:rFonts w:ascii="仿宋_GB2312" w:eastAsia="仿宋_GB2312"/>
                <w:sz w:val="24"/>
                <w:szCs w:val="24"/>
              </w:rPr>
            </w:pPr>
            <w:r>
              <w:rPr>
                <w:rFonts w:hint="eastAsia" w:ascii="仿宋_GB2312" w:eastAsia="仿宋_GB2312"/>
                <w:sz w:val="24"/>
                <w:szCs w:val="24"/>
              </w:rPr>
              <w:t>学校重视实验教学队伍建设，规划科学；政策措施得力，能引导和激励高水平教师积极投入实验教学；实验教学队伍培养培训制度健全落实，富有成效。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队伍状况</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中心负责人学术水平高，具有高级职称，教学科研实践经验丰富，热爱实验教学，管理能力强；实验教学队伍结构合理，与理论教学人员互通，骨干力量相对稳定，保持动态平衡；实验教学队伍教学科研创新能力强，实验教学水平高，积极参加教学改革、科学研究、社会服务、国际交流；实验教学队伍教风优良，治学严谨，勇于探索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设备与环境（30分）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信息平台</w:t>
            </w:r>
          </w:p>
        </w:tc>
        <w:tc>
          <w:tcPr>
            <w:tcW w:w="11198" w:type="dxa"/>
            <w:vAlign w:val="center"/>
          </w:tcPr>
          <w:p>
            <w:pPr>
              <w:rPr>
                <w:rFonts w:ascii="仿宋_GB2312" w:eastAsia="仿宋_GB2312"/>
                <w:sz w:val="24"/>
                <w:szCs w:val="24"/>
              </w:rPr>
            </w:pPr>
            <w:r>
              <w:rPr>
                <w:rFonts w:hint="eastAsia" w:ascii="仿宋_GB2312" w:eastAsia="仿宋_GB2312"/>
                <w:sz w:val="24"/>
                <w:szCs w:val="24"/>
              </w:rPr>
              <w:t>建成网络化实验教学和实验室管理信息平台；具有丰富的网络实验教学资源；实现网上辅助教学和网络化、智能化管理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实验教学开放运行，保障措施落实得力，中心运行良好；管理制度规范化、人性化，以学生为本；实验教学评价办法科学合理，鼓励教师积极投入和改革创新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1944" w:type="dxa"/>
            <w:vMerge w:val="continue"/>
            <w:tcBorders>
              <w:bottom w:val="single" w:color="000000" w:sz="4" w:space="0"/>
            </w:tcBorders>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场地和仪器设备</w:t>
            </w:r>
          </w:p>
        </w:tc>
        <w:tc>
          <w:tcPr>
            <w:tcW w:w="11198" w:type="dxa"/>
            <w:vAlign w:val="center"/>
          </w:tcPr>
          <w:p>
            <w:pPr>
              <w:rPr>
                <w:rFonts w:ascii="仿宋_GB2312" w:eastAsia="仿宋_GB2312"/>
                <w:sz w:val="24"/>
                <w:szCs w:val="24"/>
              </w:rPr>
            </w:pPr>
            <w:r>
              <w:rPr>
                <w:rFonts w:hint="eastAsia" w:ascii="仿宋_GB2312" w:eastAsia="仿宋_GB2312"/>
                <w:sz w:val="24"/>
                <w:szCs w:val="24"/>
              </w:rPr>
              <w:t>中心实验场地充足，实验室面积、空间、布局科学合理。实验仪器品质精良，组合优化，配置合理，数量充足，满足现代实验教学要求；仪器设备使用效益高；改进、自制仪器设备有特色、教学效果好；仪器设备管理制度健全落实；设备与环境维护措施得力，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944" w:type="dxa"/>
            <w:tcBorders>
              <w:top w:val="single" w:color="000000" w:sz="4" w:space="0"/>
              <w:bottom w:val="single" w:color="000000" w:sz="4" w:space="0"/>
            </w:tcBorders>
            <w:vAlign w:val="center"/>
          </w:tcPr>
          <w:p>
            <w:pPr>
              <w:rPr>
                <w:rFonts w:ascii="仿宋_GB2312" w:eastAsia="仿宋_GB2312"/>
                <w:sz w:val="24"/>
                <w:szCs w:val="24"/>
              </w:rPr>
            </w:pPr>
            <w:r>
              <w:rPr>
                <w:rFonts w:hint="eastAsia" w:ascii="仿宋_GB2312" w:eastAsia="仿宋_GB2312"/>
                <w:sz w:val="24"/>
                <w:szCs w:val="24"/>
              </w:rPr>
              <w:t>经费投入情况（10分）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实验教学运行经费投入制度化；仪器设备维护经费足额到位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944" w:type="dxa"/>
            <w:tcBorders>
              <w:top w:val="single" w:color="000000"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基本情况（10分）</w:t>
            </w:r>
          </w:p>
        </w:tc>
        <w:tc>
          <w:tcPr>
            <w:tcW w:w="21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19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主要建设任务已基本完成；建设成果达到申报预期</w:t>
            </w:r>
          </w:p>
        </w:tc>
      </w:tr>
    </w:tbl>
    <w:p>
      <w:pPr>
        <w:pStyle w:val="2"/>
        <w:bidi w:val="0"/>
      </w:pPr>
      <w:bookmarkStart w:id="10" w:name="_Toc19313"/>
      <w:r>
        <w:rPr>
          <w:rFonts w:hint="eastAsia"/>
        </w:rPr>
        <w:t>广东省大学生应用型人才培养示范基地验收评审指标体系（试行）</w:t>
      </w:r>
      <w:bookmarkEnd w:id="10"/>
    </w:p>
    <w:tbl>
      <w:tblPr>
        <w:tblStyle w:val="9"/>
        <w:tblW w:w="50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981"/>
        <w:gridCol w:w="1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39" w:type="pct"/>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646" w:type="pct"/>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3714" w:type="pct"/>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39" w:type="pct"/>
            <w:vMerge w:val="continue"/>
            <w:vAlign w:val="center"/>
          </w:tcPr>
          <w:p>
            <w:pPr>
              <w:rPr>
                <w:rFonts w:ascii="仿宋_GB2312" w:eastAsia="仿宋_GB2312"/>
                <w:sz w:val="24"/>
                <w:szCs w:val="24"/>
              </w:rPr>
            </w:pPr>
          </w:p>
        </w:tc>
        <w:tc>
          <w:tcPr>
            <w:tcW w:w="646" w:type="pct"/>
            <w:vMerge w:val="continue"/>
            <w:vAlign w:val="center"/>
          </w:tcPr>
          <w:p>
            <w:pPr>
              <w:jc w:val="center"/>
              <w:rPr>
                <w:rFonts w:ascii="仿宋_GB2312" w:eastAsia="仿宋_GB2312"/>
                <w:sz w:val="24"/>
                <w:szCs w:val="24"/>
              </w:rPr>
            </w:pPr>
          </w:p>
        </w:tc>
        <w:tc>
          <w:tcPr>
            <w:tcW w:w="3714" w:type="pct"/>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9" w:type="pct"/>
            <w:vMerge w:val="continue"/>
            <w:tcBorders>
              <w:bottom w:val="single" w:color="auto" w:sz="4" w:space="0"/>
            </w:tcBorders>
            <w:vAlign w:val="center"/>
          </w:tcPr>
          <w:p>
            <w:pPr>
              <w:rPr>
                <w:rFonts w:ascii="仿宋_GB2312" w:eastAsia="仿宋_GB2312"/>
                <w:sz w:val="24"/>
                <w:szCs w:val="24"/>
              </w:rPr>
            </w:pPr>
          </w:p>
        </w:tc>
        <w:tc>
          <w:tcPr>
            <w:tcW w:w="646" w:type="pct"/>
            <w:vMerge w:val="continue"/>
            <w:tcBorders>
              <w:bottom w:val="single" w:color="auto" w:sz="4" w:space="0"/>
            </w:tcBorders>
            <w:vAlign w:val="center"/>
          </w:tcPr>
          <w:p>
            <w:pPr>
              <w:jc w:val="center"/>
              <w:rPr>
                <w:rFonts w:ascii="仿宋_GB2312" w:eastAsia="仿宋_GB2312"/>
                <w:sz w:val="24"/>
                <w:szCs w:val="24"/>
              </w:rPr>
            </w:pPr>
          </w:p>
        </w:tc>
        <w:tc>
          <w:tcPr>
            <w:tcW w:w="3714" w:type="pct"/>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639" w:type="pct"/>
            <w:vMerge w:val="restart"/>
            <w:vAlign w:val="center"/>
          </w:tcPr>
          <w:p>
            <w:pPr>
              <w:jc w:val="center"/>
              <w:rPr>
                <w:rFonts w:ascii="仿宋_GB2312" w:eastAsia="仿宋_GB2312"/>
                <w:sz w:val="24"/>
                <w:szCs w:val="24"/>
              </w:rPr>
            </w:pPr>
            <w:r>
              <w:rPr>
                <w:rFonts w:hint="eastAsia" w:ascii="仿宋_GB2312" w:eastAsia="仿宋_GB2312"/>
                <w:sz w:val="24"/>
                <w:szCs w:val="24"/>
              </w:rPr>
              <w:t>基地管理（15分）</w:t>
            </w: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基地定位</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基地定位明确，能够坚持服务地方宗旨，主动适应区域产业经济发展需求，突出应用性培养的特色，注重基地内涵建设。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39" w:type="pct"/>
            <w:vMerge w:val="continue"/>
            <w:tcBorders>
              <w:bottom w:val="single" w:color="auto" w:sz="4" w:space="0"/>
            </w:tcBorders>
            <w:vAlign w:val="center"/>
          </w:tcPr>
          <w:p>
            <w:pPr>
              <w:jc w:val="center"/>
              <w:rPr>
                <w:rFonts w:ascii="仿宋_GB2312" w:eastAsia="仿宋_GB2312"/>
                <w:sz w:val="24"/>
                <w:szCs w:val="24"/>
              </w:rPr>
            </w:pP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教学运行、学生管理、安全保障、资金使用等制度规范化、人性化，以学生为本，激励约束机制健全；建立健全协同育人机制，促进校企协同创新。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39" w:type="pct"/>
            <w:vMerge w:val="restart"/>
            <w:vAlign w:val="center"/>
          </w:tcPr>
          <w:p>
            <w:pPr>
              <w:jc w:val="center"/>
              <w:rPr>
                <w:rFonts w:ascii="仿宋_GB2312" w:eastAsia="仿宋_GB2312"/>
                <w:sz w:val="24"/>
                <w:szCs w:val="24"/>
              </w:rPr>
            </w:pPr>
            <w:r>
              <w:rPr>
                <w:rFonts w:hint="eastAsia" w:ascii="仿宋_GB2312" w:eastAsia="仿宋_GB2312"/>
                <w:sz w:val="24"/>
                <w:szCs w:val="24"/>
              </w:rPr>
              <w:t>基地建设（30分）</w:t>
            </w: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资金运行</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基地运行经费充足，能够满足基地运转需要且运行经费投入制度化，经费保障制度完备；作单位对基地的建设运营投入经费，支持基地发展。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39" w:type="pct"/>
            <w:vMerge w:val="continue"/>
            <w:tcBorders>
              <w:bottom w:val="single" w:color="auto" w:sz="4" w:space="0"/>
            </w:tcBorders>
            <w:vAlign w:val="center"/>
          </w:tcPr>
          <w:p>
            <w:pPr>
              <w:jc w:val="center"/>
              <w:rPr>
                <w:rFonts w:ascii="仿宋_GB2312" w:eastAsia="仿宋_GB2312"/>
                <w:sz w:val="24"/>
                <w:szCs w:val="24"/>
              </w:rPr>
            </w:pP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条件建设</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的面积、空间、结构布局科学合理，安全、环保符合国家标准，软硬件设施满足教学需要；基地建设双方合作关系稳定，有制度保障；师资队伍满足教学需求，制定基地师资队伍建设计划，有较多企业人才参与基地教学，专兼师资队伍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39" w:type="pct"/>
            <w:vMerge w:val="restart"/>
            <w:vAlign w:val="center"/>
          </w:tcPr>
          <w:p>
            <w:pPr>
              <w:jc w:val="center"/>
              <w:rPr>
                <w:rFonts w:ascii="仿宋_GB2312" w:eastAsia="仿宋_GB2312"/>
                <w:sz w:val="24"/>
                <w:szCs w:val="24"/>
              </w:rPr>
            </w:pPr>
            <w:r>
              <w:rPr>
                <w:rFonts w:hint="eastAsia" w:ascii="仿宋_GB2312" w:eastAsia="仿宋_GB2312"/>
                <w:sz w:val="24"/>
                <w:szCs w:val="24"/>
              </w:rPr>
              <w:t>基地效益（40分）</w:t>
            </w: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实践教学</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实践教学体系完备、层次分明；企业深度参与基地教学和人才培养全过程；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39" w:type="pct"/>
            <w:vMerge w:val="continue"/>
            <w:tcBorders>
              <w:bottom w:val="single" w:color="auto" w:sz="4" w:space="0"/>
            </w:tcBorders>
            <w:vAlign w:val="center"/>
          </w:tcPr>
          <w:p>
            <w:pPr>
              <w:rPr>
                <w:rFonts w:ascii="仿宋_GB2312" w:eastAsia="仿宋_GB2312"/>
                <w:sz w:val="24"/>
                <w:szCs w:val="24"/>
              </w:rPr>
            </w:pP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培养质量</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依托基地，学生实践能力和创新能力显著提升，创新创业项目、专利发明、论文发表数量有所增加；依托基地，学生就业率有所提高，用人单位满意度提高；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86" w:type="pct"/>
            <w:gridSpan w:val="2"/>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特色或创新（15分）</w:t>
            </w:r>
          </w:p>
        </w:tc>
        <w:tc>
          <w:tcPr>
            <w:tcW w:w="3714" w:type="pct"/>
            <w:vAlign w:val="center"/>
          </w:tcPr>
          <w:p>
            <w:pPr>
              <w:jc w:val="left"/>
              <w:rPr>
                <w:rFonts w:ascii="仿宋_GB2312" w:eastAsia="仿宋_GB2312"/>
                <w:sz w:val="24"/>
                <w:szCs w:val="24"/>
              </w:rPr>
            </w:pPr>
            <w:r>
              <w:rPr>
                <w:rFonts w:hint="eastAsia" w:ascii="仿宋_GB2312" w:eastAsia="仿宋_GB2312"/>
                <w:sz w:val="24"/>
                <w:szCs w:val="24"/>
              </w:rPr>
              <w:t>基地建设富有自身特色，在实践教学、师资队伍、条件建设、管理模式、运作管理、能力培养等方面具有独特的、创新性的做法，部分经验做法在全省乃至全国范围内具有推广应用价值</w:t>
            </w:r>
          </w:p>
        </w:tc>
      </w:tr>
    </w:tbl>
    <w:p>
      <w:pPr>
        <w:pStyle w:val="2"/>
        <w:bidi w:val="0"/>
      </w:pPr>
      <w:bookmarkStart w:id="11" w:name="_Toc1482"/>
      <w:r>
        <w:rPr>
          <w:rFonts w:hint="eastAsia"/>
        </w:rPr>
        <w:t>广东省普通高等学校应用型人才培养示范专业/战略新兴产业特色专业评审指标（试行）</w:t>
      </w:r>
      <w:bookmarkEnd w:id="11"/>
    </w:p>
    <w:tbl>
      <w:tblPr>
        <w:tblStyle w:val="9"/>
        <w:tblW w:w="14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2134"/>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13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9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建设目标与保障（10分）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919" w:type="dxa"/>
            <w:vAlign w:val="center"/>
          </w:tcPr>
          <w:p>
            <w:pPr>
              <w:rPr>
                <w:rFonts w:ascii="仿宋_GB2312" w:eastAsia="仿宋_GB2312"/>
                <w:sz w:val="24"/>
                <w:szCs w:val="24"/>
              </w:rPr>
            </w:pPr>
            <w:r>
              <w:rPr>
                <w:rFonts w:hint="eastAsia" w:ascii="仿宋_GB2312" w:eastAsia="仿宋_GB2312"/>
                <w:sz w:val="24"/>
                <w:szCs w:val="24"/>
              </w:rPr>
              <w:t>明确对接区域和产业链的应用型专业定位，确立为产业发展提供人才的专业建设目标。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建设措施</w:t>
            </w:r>
          </w:p>
        </w:tc>
        <w:tc>
          <w:tcPr>
            <w:tcW w:w="9919" w:type="dxa"/>
            <w:vAlign w:val="center"/>
          </w:tcPr>
          <w:p>
            <w:pPr>
              <w:rPr>
                <w:rFonts w:ascii="仿宋_GB2312" w:eastAsia="仿宋_GB2312"/>
                <w:sz w:val="24"/>
                <w:szCs w:val="24"/>
              </w:rPr>
            </w:pPr>
            <w:r>
              <w:rPr>
                <w:rFonts w:hint="eastAsia" w:ascii="仿宋_GB2312" w:eastAsia="仿宋_GB2312"/>
                <w:sz w:val="24"/>
                <w:szCs w:val="24"/>
              </w:rPr>
              <w:t>专业发展规划科学合理, 与产业发展结合紧密，专业分期建设目标明确，建设措施得力，具有一定的学科优势和特色。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1"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师资队伍（20分）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师资力量</w:t>
            </w:r>
          </w:p>
        </w:tc>
        <w:tc>
          <w:tcPr>
            <w:tcW w:w="9919" w:type="dxa"/>
            <w:vAlign w:val="center"/>
          </w:tcPr>
          <w:p>
            <w:pPr>
              <w:rPr>
                <w:rFonts w:ascii="仿宋_GB2312" w:eastAsia="仿宋_GB2312"/>
                <w:bCs/>
                <w:sz w:val="24"/>
                <w:szCs w:val="24"/>
              </w:rPr>
            </w:pPr>
            <w:r>
              <w:rPr>
                <w:rFonts w:hint="eastAsia" w:ascii="仿宋_GB2312" w:eastAsia="仿宋_GB2312"/>
                <w:sz w:val="24"/>
                <w:szCs w:val="24"/>
              </w:rPr>
              <w:t>队伍整体素质高，专业主干课程主要由教授、副教授讲授；建立制度激励教师投入教学，教师科研项目能够有效转化为教学内容，提升教学成效。队伍年龄结构、职称结构、学缘结构合理，专兼职教师比例合理，有高水平、相对稳定的学科专业带头人和教学团队并有效推动本专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919" w:type="dxa"/>
            <w:vAlign w:val="center"/>
          </w:tcPr>
          <w:p>
            <w:pPr>
              <w:rPr>
                <w:rFonts w:ascii="仿宋_GB2312" w:eastAsia="仿宋_GB2312"/>
                <w:sz w:val="24"/>
                <w:szCs w:val="24"/>
              </w:rPr>
            </w:pPr>
            <w:r>
              <w:rPr>
                <w:rFonts w:hint="eastAsia" w:ascii="仿宋_GB2312" w:eastAsia="仿宋_GB2312"/>
                <w:sz w:val="24"/>
                <w:szCs w:val="24"/>
              </w:rPr>
              <w:t>专业师资引进、培养措施完善；与企业联合开展师资培养、师资双向流动，“双师双能型”教师队伍建设成效显著，兼职教师引进渠道多样、措施便易，能有效利用社会资源提升教师专业水平和实践能力。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教学条件（10分）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教学设施</w:t>
            </w:r>
          </w:p>
        </w:tc>
        <w:tc>
          <w:tcPr>
            <w:tcW w:w="9919" w:type="dxa"/>
            <w:vAlign w:val="center"/>
          </w:tcPr>
          <w:p>
            <w:pPr>
              <w:rPr>
                <w:rFonts w:ascii="仿宋_GB2312" w:eastAsia="仿宋_GB2312"/>
                <w:sz w:val="24"/>
                <w:szCs w:val="24"/>
              </w:rPr>
            </w:pPr>
            <w:r>
              <w:rPr>
                <w:rFonts w:hint="eastAsia" w:ascii="仿宋_GB2312" w:eastAsia="仿宋_GB2312"/>
                <w:sz w:val="24"/>
                <w:szCs w:val="24"/>
              </w:rPr>
              <w:t>教学基本设施（含实验室、实习实训基地、图书资料、校园网络建设等）能满足培养高素质应用型人才的需要；充分开发、利用多种教学资源（如网上资源、电子教材等）。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919"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建设成果（40分）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919" w:type="dxa"/>
            <w:vAlign w:val="center"/>
          </w:tcPr>
          <w:p>
            <w:pPr>
              <w:rPr>
                <w:rFonts w:ascii="仿宋_GB2312" w:eastAsia="仿宋_GB2312"/>
                <w:sz w:val="24"/>
                <w:szCs w:val="24"/>
              </w:rPr>
            </w:pPr>
            <w:r>
              <w:rPr>
                <w:rFonts w:hint="eastAsia" w:ascii="仿宋_GB2312" w:eastAsia="仿宋_GB2312"/>
                <w:sz w:val="24"/>
                <w:szCs w:val="24"/>
              </w:rPr>
              <w:t>探索产教融合、协同育人的人才培养模式，实现专业链与产业链、课程内容与职业标准、教学过程与生产过程对接；引入职业资格标准、产业行业标准修订人才培养方案；培养方案（计划）设计科学，具有可操作性，能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课程建设</w:t>
            </w:r>
          </w:p>
        </w:tc>
        <w:tc>
          <w:tcPr>
            <w:tcW w:w="9919" w:type="dxa"/>
            <w:vAlign w:val="center"/>
          </w:tcPr>
          <w:p>
            <w:pPr>
              <w:rPr>
                <w:rFonts w:ascii="仿宋_GB2312" w:eastAsia="仿宋_GB2312"/>
                <w:sz w:val="24"/>
                <w:szCs w:val="24"/>
              </w:rPr>
            </w:pPr>
            <w:r>
              <w:rPr>
                <w:rFonts w:hint="eastAsia" w:ascii="仿宋_GB2312" w:eastAsia="仿宋_GB2312"/>
                <w:sz w:val="24"/>
                <w:szCs w:val="24"/>
              </w:rPr>
              <w:t>依据产业行业标准重构课程体系和教学内容；以社会经济发展和产业技术进步驱动课程改革，整合相关的理论课和实验实践课；推行基于实际应用的案例教学、项目教学等；将现代信息技术全面融入教学改革，通过校校合作、校政行企合作联合开发在线开放课程；将创新创业教育融入人才培养全过程，健全课程体系，建立学分转换制，强化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919"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实践教学体系建设（文科部分专业本条可适当放宽）</w:t>
            </w:r>
          </w:p>
        </w:tc>
        <w:tc>
          <w:tcPr>
            <w:tcW w:w="9919" w:type="dxa"/>
            <w:vAlign w:val="center"/>
          </w:tcPr>
          <w:p>
            <w:pPr>
              <w:rPr>
                <w:rFonts w:ascii="仿宋_GB2312" w:eastAsia="仿宋_GB2312"/>
                <w:sz w:val="24"/>
                <w:szCs w:val="24"/>
              </w:rPr>
            </w:pPr>
            <w:r>
              <w:rPr>
                <w:rFonts w:hint="eastAsia" w:ascii="仿宋_GB2312" w:eastAsia="仿宋_GB2312"/>
                <w:sz w:val="24"/>
                <w:szCs w:val="24"/>
              </w:rPr>
              <w:t>完善实验、实训、实习等实践教学体系；加强实验、实训、实习环节，提高课时占比；建立实训实习质量保障机制；引进企业科研、生产基地，建立校企一体、产学研一体的大型实验实训实习中心；加大实验教学示范中心、校内外实践教学基地建设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人才培养质量（20分）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成效示范</w:t>
            </w:r>
          </w:p>
        </w:tc>
        <w:tc>
          <w:tcPr>
            <w:tcW w:w="9919" w:type="dxa"/>
            <w:vAlign w:val="center"/>
          </w:tcPr>
          <w:p>
            <w:pPr>
              <w:rPr>
                <w:rFonts w:ascii="仿宋_GB2312" w:eastAsia="仿宋_GB2312"/>
                <w:sz w:val="24"/>
                <w:szCs w:val="24"/>
              </w:rPr>
            </w:pPr>
            <w:r>
              <w:rPr>
                <w:rFonts w:hint="eastAsia" w:ascii="仿宋_GB2312" w:eastAsia="仿宋_GB2312"/>
                <w:bCs/>
                <w:sz w:val="24"/>
                <w:szCs w:val="24"/>
              </w:rPr>
              <w:t>学生创新精神和实践能力强；</w:t>
            </w:r>
            <w:r>
              <w:rPr>
                <w:rFonts w:hint="eastAsia" w:ascii="仿宋_GB2312" w:eastAsia="仿宋_GB2312"/>
                <w:sz w:val="24"/>
                <w:szCs w:val="24"/>
              </w:rPr>
              <w:t>毕业生的综合素质高，用人单位评价高；</w:t>
            </w:r>
            <w:r>
              <w:rPr>
                <w:rFonts w:hint="eastAsia" w:ascii="仿宋_GB2312" w:eastAsia="仿宋_GB2312"/>
                <w:bCs/>
                <w:sz w:val="24"/>
                <w:szCs w:val="24"/>
              </w:rPr>
              <w:t>专业建设成果示范辐射作用成效显著，在省内乃至国内有较大影响。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2799" w:type="dxa"/>
            <w:vMerge w:val="continue"/>
            <w:vAlign w:val="center"/>
          </w:tcPr>
          <w:p>
            <w:pP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919"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jc w:val="center"/>
        <w:rPr>
          <w:rFonts w:ascii="仿宋_GB2312" w:eastAsia="仿宋_GB2312"/>
          <w:b/>
          <w:sz w:val="30"/>
          <w:szCs w:val="30"/>
        </w:rPr>
      </w:pPr>
    </w:p>
    <w:p>
      <w:pPr>
        <w:pStyle w:val="2"/>
        <w:bidi w:val="0"/>
        <w:rPr>
          <w:rFonts w:ascii="仿宋_GB2312" w:eastAsia="仿宋_GB2312"/>
          <w:b/>
          <w:sz w:val="30"/>
          <w:szCs w:val="30"/>
        </w:rPr>
      </w:pPr>
      <w:bookmarkStart w:id="12" w:name="_Toc18352"/>
      <w:r>
        <w:rPr>
          <w:rFonts w:hint="eastAsia"/>
        </w:rPr>
        <w:t>广东省本科高校卓越人才培养计划项目验收指标体系（试行）</w:t>
      </w:r>
      <w:bookmarkEnd w:id="12"/>
    </w:p>
    <w:tbl>
      <w:tblPr>
        <w:tblStyle w:val="9"/>
        <w:tblW w:w="0" w:type="auto"/>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2737"/>
        <w:gridCol w:w="12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2" w:hRule="atLeast"/>
          <w:tblCellSpacing w:w="7" w:type="dxa"/>
          <w:jc w:val="center"/>
        </w:trPr>
        <w:tc>
          <w:tcPr>
            <w:tcW w:w="2706" w:type="dxa"/>
            <w:vMerge w:val="restart"/>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223"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12" w:hRule="atLeast"/>
          <w:tblCellSpacing w:w="7" w:type="dxa"/>
          <w:jc w:val="center"/>
        </w:trPr>
        <w:tc>
          <w:tcPr>
            <w:tcW w:w="2706" w:type="dxa"/>
            <w:vMerge w:val="continue"/>
            <w:shd w:val="clear" w:color="auto" w:fill="FFFFFF"/>
            <w:noWrap/>
            <w:vAlign w:val="center"/>
          </w:tcPr>
          <w:p>
            <w:pPr>
              <w:jc w:val="center"/>
              <w:rPr>
                <w:rFonts w:ascii="仿宋_GB2312" w:eastAsia="仿宋_GB2312"/>
                <w:b/>
                <w:sz w:val="24"/>
                <w:szCs w:val="24"/>
              </w:rPr>
            </w:pPr>
          </w:p>
        </w:tc>
        <w:tc>
          <w:tcPr>
            <w:tcW w:w="12223"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82" w:hRule="atLeast"/>
          <w:tblCellSpacing w:w="7" w:type="dxa"/>
          <w:jc w:val="center"/>
        </w:trPr>
        <w:tc>
          <w:tcPr>
            <w:tcW w:w="2706"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r>
              <w:rPr>
                <w:rFonts w:hint="eastAsia" w:ascii="仿宋_GB2312" w:eastAsia="仿宋_GB2312" w:hAnsiTheme="minorEastAsia"/>
                <w:sz w:val="24"/>
                <w:szCs w:val="24"/>
              </w:rPr>
              <w:t>；</w:t>
            </w:r>
            <w:r>
              <w:rPr>
                <w:rFonts w:hint="eastAsia" w:ascii="仿宋_GB2312" w:eastAsia="仿宋_GB2312"/>
                <w:sz w:val="24"/>
                <w:szCs w:val="24"/>
              </w:rPr>
              <w:t>卓越计划项目实施以来，有利推动专业教学改革，并形成了一系列建设成果和特色富有创新和示范效应，在同类院校或专业中具有推广和应用价值。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2" w:hRule="atLeast"/>
          <w:tblCellSpacing w:w="7" w:type="dxa"/>
          <w:jc w:val="center"/>
        </w:trPr>
        <w:tc>
          <w:tcPr>
            <w:tcW w:w="2706"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工作机制与保障（15分）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学校或学院有专门工作机构统筹推进卓越人才培养计划，协调解决重大改革事项</w:t>
            </w:r>
            <w:r>
              <w:rPr>
                <w:rFonts w:hint="eastAsia" w:ascii="仿宋_GB2312" w:eastAsia="仿宋_GB2312" w:hAnsiTheme="minorEastAsia"/>
                <w:sz w:val="24"/>
                <w:szCs w:val="24"/>
              </w:rPr>
              <w:t>；</w:t>
            </w:r>
            <w:r>
              <w:rPr>
                <w:rFonts w:hint="eastAsia" w:ascii="仿宋_GB2312" w:eastAsia="仿宋_GB2312"/>
                <w:sz w:val="24"/>
                <w:szCs w:val="24"/>
              </w:rPr>
              <w:t>在教育教学改革、师资配备、经费保障等方面学校有明确的鼓励和支持政策；</w:t>
            </w:r>
            <w:r>
              <w:rPr>
                <w:rFonts w:hint="eastAsia" w:ascii="仿宋_GB2312" w:eastAsia="仿宋_GB2312" w:hAnsiTheme="minorEastAsia"/>
                <w:sz w:val="24"/>
                <w:szCs w:val="24"/>
              </w:rPr>
              <w:t>企业和行业部门参与“卓越计划”的机制健全，</w:t>
            </w:r>
            <w:r>
              <w:rPr>
                <w:rFonts w:hint="eastAsia" w:ascii="仿宋_GB2312" w:eastAsia="仿宋_GB2312"/>
                <w:sz w:val="24"/>
                <w:szCs w:val="24"/>
              </w:rPr>
              <w:t>有相应的优惠激励政策和机制。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40" w:hRule="atLeast"/>
          <w:tblCellSpacing w:w="7" w:type="dxa"/>
          <w:jc w:val="center"/>
        </w:trPr>
        <w:tc>
          <w:tcPr>
            <w:tcW w:w="2706"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人才培养（15分）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根据经济社会发展需要，结合学校的办学定位、办学特色，明确卓越人才培养目标，定位科学合理</w:t>
            </w:r>
            <w:r>
              <w:rPr>
                <w:rFonts w:hint="eastAsia" w:ascii="仿宋_GB2312" w:eastAsia="仿宋_GB2312" w:hAnsiTheme="minorEastAsia"/>
                <w:sz w:val="24"/>
                <w:szCs w:val="24"/>
              </w:rPr>
              <w:t>；</w:t>
            </w:r>
            <w:r>
              <w:rPr>
                <w:rFonts w:hint="eastAsia" w:ascii="仿宋_GB2312" w:eastAsia="仿宋_GB2312"/>
                <w:sz w:val="24"/>
                <w:szCs w:val="24"/>
              </w:rPr>
              <w:t>针对卓越人才培养目标，设计了较为完整、契合度高的人才培养方案，创新点突出，特色鲜明，有明确、可行性强的培养路径</w:t>
            </w:r>
            <w:r>
              <w:rPr>
                <w:rFonts w:hint="eastAsia" w:ascii="仿宋_GB2312" w:eastAsia="仿宋_GB2312" w:hAnsiTheme="minorEastAsia"/>
                <w:sz w:val="24"/>
                <w:szCs w:val="24"/>
              </w:rPr>
              <w:t>；创立高校与行业、企业联合培养人才新机制，共同实施培养过程；扩大对外开放，培养具备国际视野的卓越人才。</w:t>
            </w:r>
            <w:r>
              <w:rPr>
                <w:rFonts w:hint="eastAsia" w:ascii="仿宋_GB2312" w:eastAsia="仿宋_GB2312"/>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6" w:hRule="atLeast"/>
          <w:tblCellSpacing w:w="7" w:type="dxa"/>
          <w:jc w:val="center"/>
        </w:trPr>
        <w:tc>
          <w:tcPr>
            <w:tcW w:w="270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教学改革（30分）</w:t>
            </w:r>
          </w:p>
        </w:tc>
        <w:tc>
          <w:tcPr>
            <w:tcW w:w="12223" w:type="dxa"/>
            <w:shd w:val="clear" w:color="auto" w:fill="FFFFFF"/>
            <w:vAlign w:val="center"/>
          </w:tcPr>
          <w:p>
            <w:pPr>
              <w:rPr>
                <w:rFonts w:ascii="仿宋_GB2312" w:eastAsia="仿宋_GB2312"/>
                <w:sz w:val="24"/>
                <w:szCs w:val="24"/>
              </w:rPr>
            </w:pPr>
            <w:r>
              <w:rPr>
                <w:rFonts w:hint="eastAsia" w:ascii="仿宋_GB2312" w:eastAsia="仿宋_GB2312"/>
                <w:sz w:val="24"/>
                <w:szCs w:val="24"/>
              </w:rPr>
              <w:t>对人才培养模式进行综合改革，强化专业集成；教育教学理念具有较强的创新性，形成了有特色的人才培养研究成果</w:t>
            </w:r>
            <w:r>
              <w:rPr>
                <w:rFonts w:hint="eastAsia" w:ascii="仿宋_GB2312" w:eastAsia="仿宋_GB2312" w:hAnsiTheme="minorEastAsia"/>
                <w:sz w:val="24"/>
                <w:szCs w:val="24"/>
              </w:rPr>
              <w:t>；</w:t>
            </w:r>
            <w:r>
              <w:rPr>
                <w:rFonts w:hint="eastAsia" w:ascii="仿宋_GB2312" w:eastAsia="仿宋_GB2312"/>
                <w:sz w:val="24"/>
                <w:szCs w:val="24"/>
              </w:rPr>
              <w:t>教学内容与课程体系改革紧密结合行业发展需求，符合卓越人才培养的要求，大力加强学生实践能力，创新精神和创业能力的培养</w:t>
            </w:r>
            <w:r>
              <w:rPr>
                <w:rFonts w:hint="eastAsia" w:ascii="仿宋_GB2312" w:eastAsia="仿宋_GB2312" w:hAnsiTheme="minorEastAsia"/>
                <w:sz w:val="24"/>
                <w:szCs w:val="24"/>
              </w:rPr>
              <w:t>；</w:t>
            </w:r>
            <w:r>
              <w:rPr>
                <w:rFonts w:hint="eastAsia" w:ascii="仿宋_GB2312" w:eastAsia="仿宋_GB2312"/>
                <w:sz w:val="24"/>
                <w:szCs w:val="24"/>
              </w:rPr>
              <w:t>开展互动式、研究型教学，注重学生学习能力和综合素质考核、实行多元考核方式，主动将科研成果带入专业教学</w:t>
            </w:r>
            <w:r>
              <w:rPr>
                <w:rFonts w:hint="eastAsia" w:ascii="仿宋_GB2312" w:eastAsia="仿宋_GB2312" w:hAnsiTheme="minorEastAsia"/>
                <w:sz w:val="24"/>
                <w:szCs w:val="24"/>
              </w:rPr>
              <w:t>；</w:t>
            </w:r>
            <w:r>
              <w:rPr>
                <w:rFonts w:hint="eastAsia" w:ascii="仿宋_GB2312" w:eastAsia="仿宋_GB2312"/>
                <w:sz w:val="24"/>
                <w:szCs w:val="24"/>
              </w:rPr>
              <w:t>积极开展实践教学，体系完善，依托专业建设有省级以上校内或校外实践教学基地。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3" w:hRule="atLeast"/>
          <w:tblCellSpacing w:w="7" w:type="dxa"/>
          <w:jc w:val="center"/>
        </w:trPr>
        <w:tc>
          <w:tcPr>
            <w:tcW w:w="270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教师队伍建设（15分）</w:t>
            </w:r>
          </w:p>
        </w:tc>
        <w:tc>
          <w:tcPr>
            <w:tcW w:w="12223" w:type="dxa"/>
            <w:shd w:val="clear" w:color="auto" w:fill="auto"/>
            <w:vAlign w:val="center"/>
          </w:tcPr>
          <w:p>
            <w:pPr>
              <w:rPr>
                <w:rFonts w:ascii="仿宋_GB2312" w:eastAsia="仿宋_GB2312"/>
                <w:sz w:val="24"/>
                <w:szCs w:val="24"/>
              </w:rPr>
            </w:pPr>
            <w:r>
              <w:rPr>
                <w:rFonts w:hint="eastAsia" w:ascii="仿宋_GB2312" w:hAnsi="Verdana" w:eastAsia="仿宋_GB2312"/>
                <w:color w:val="000000"/>
                <w:sz w:val="24"/>
                <w:szCs w:val="24"/>
                <w:shd w:val="clear" w:color="auto" w:fill="FFFFFF"/>
              </w:rPr>
              <w:t>依据自身学科人才培养特点展开了相应的教师队伍建设，取得成效，初步形成一支具有较高理论水平和实践经验的师资队伍；</w:t>
            </w:r>
            <w:r>
              <w:rPr>
                <w:rFonts w:hint="eastAsia" w:ascii="仿宋_GB2312" w:eastAsia="仿宋_GB2312" w:hAnsiTheme="minorEastAsia"/>
                <w:color w:val="000000"/>
                <w:sz w:val="24"/>
                <w:szCs w:val="24"/>
                <w:shd w:val="clear" w:color="auto" w:fill="FFFFFF"/>
              </w:rPr>
              <w:t>具备一直有一定行业经历的高水平专、兼职教师队伍；</w:t>
            </w:r>
            <w:r>
              <w:rPr>
                <w:rFonts w:hint="eastAsia" w:ascii="仿宋_GB2312" w:eastAsia="仿宋_GB2312"/>
                <w:sz w:val="24"/>
                <w:szCs w:val="24"/>
              </w:rPr>
              <w:t>师资队伍学历、年龄、知识结构合理，师德高尚，业务素质精良，专职教师的主要精力投入教学工作。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10" w:hRule="atLeast"/>
          <w:tblCellSpacing w:w="7" w:type="dxa"/>
          <w:jc w:val="center"/>
        </w:trPr>
        <w:tc>
          <w:tcPr>
            <w:tcW w:w="270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223" w:type="dxa"/>
            <w:shd w:val="clear" w:color="auto" w:fill="auto"/>
            <w:vAlign w:val="center"/>
          </w:tcPr>
          <w:p>
            <w:pPr>
              <w:rPr>
                <w:rFonts w:ascii="仿宋_GB2312" w:eastAsia="仿宋_GB2312"/>
                <w:sz w:val="24"/>
                <w:szCs w:val="24"/>
              </w:rPr>
            </w:pPr>
            <w:r>
              <w:rPr>
                <w:rFonts w:hint="eastAsia" w:ascii="仿宋_GB2312" w:eastAsia="仿宋_GB2312"/>
                <w:sz w:val="24"/>
                <w:szCs w:val="24"/>
              </w:rPr>
              <w:t>实施“卓越计划”以来，学生实践能力、创新能力和综合素质提升，发明专利和发表高水平论文或其他创新成果较多</w:t>
            </w:r>
            <w:r>
              <w:rPr>
                <w:rFonts w:hint="eastAsia" w:ascii="仿宋_GB2312" w:eastAsia="仿宋_GB2312" w:hAnsiTheme="minorEastAsia"/>
                <w:sz w:val="24"/>
                <w:szCs w:val="24"/>
              </w:rPr>
              <w:t>；</w:t>
            </w:r>
            <w:r>
              <w:rPr>
                <w:rFonts w:hint="eastAsia" w:ascii="仿宋_GB2312" w:eastAsia="仿宋_GB2312"/>
                <w:sz w:val="24"/>
                <w:szCs w:val="24"/>
              </w:rPr>
              <w:t>发现、分析和解决问题能力提高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jc w:val="center"/>
        <w:rPr>
          <w:rFonts w:ascii="仿宋_GB2312" w:hAnsi="黑体" w:eastAsia="仿宋_GB2312"/>
          <w:sz w:val="24"/>
          <w:szCs w:val="24"/>
        </w:rPr>
      </w:pPr>
    </w:p>
    <w:p>
      <w:pPr>
        <w:rPr>
          <w:rFonts w:ascii="仿宋_GB2312" w:eastAsia="仿宋_GB2312"/>
          <w:sz w:val="24"/>
          <w:szCs w:val="24"/>
        </w:rPr>
      </w:pPr>
    </w:p>
    <w:p>
      <w:pPr>
        <w:pStyle w:val="2"/>
        <w:bidi w:val="0"/>
      </w:pPr>
      <w:bookmarkStart w:id="13" w:name="_Toc20445"/>
      <w:r>
        <w:rPr>
          <w:rFonts w:hint="eastAsia"/>
        </w:rPr>
        <w:t>广东省本科高校试点学院验收指标体系（试行）</w:t>
      </w:r>
      <w:bookmarkEnd w:id="13"/>
    </w:p>
    <w:tbl>
      <w:tblPr>
        <w:tblStyle w:val="9"/>
        <w:tblW w:w="15211"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3041"/>
        <w:gridCol w:w="12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2" w:hRule="atLeast"/>
          <w:tblCellSpacing w:w="7" w:type="dxa"/>
          <w:jc w:val="center"/>
        </w:trPr>
        <w:tc>
          <w:tcPr>
            <w:tcW w:w="3010" w:type="dxa"/>
            <w:vMerge w:val="restart"/>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159"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12" w:hRule="atLeast"/>
          <w:tblCellSpacing w:w="7" w:type="dxa"/>
          <w:jc w:val="center"/>
        </w:trPr>
        <w:tc>
          <w:tcPr>
            <w:tcW w:w="3010" w:type="dxa"/>
            <w:vMerge w:val="continue"/>
            <w:shd w:val="clear" w:color="auto" w:fill="FFFFFF"/>
            <w:noWrap/>
            <w:vAlign w:val="center"/>
          </w:tcPr>
          <w:p>
            <w:pPr>
              <w:jc w:val="center"/>
              <w:rPr>
                <w:rFonts w:ascii="仿宋_GB2312" w:eastAsia="仿宋_GB2312"/>
                <w:b/>
                <w:sz w:val="24"/>
                <w:szCs w:val="24"/>
              </w:rPr>
            </w:pPr>
          </w:p>
        </w:tc>
        <w:tc>
          <w:tcPr>
            <w:tcW w:w="12159"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833" w:hRule="atLeast"/>
          <w:tblCellSpacing w:w="7" w:type="dxa"/>
          <w:jc w:val="center"/>
        </w:trPr>
        <w:tc>
          <w:tcPr>
            <w:tcW w:w="3010"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学院基本条件建设（15分）</w:t>
            </w:r>
          </w:p>
        </w:tc>
        <w:tc>
          <w:tcPr>
            <w:tcW w:w="12159" w:type="dxa"/>
            <w:shd w:val="clear" w:color="auto" w:fill="FFFFFF"/>
            <w:vAlign w:val="center"/>
          </w:tcPr>
          <w:p>
            <w:pPr>
              <w:jc w:val="left"/>
              <w:rPr>
                <w:rFonts w:ascii="仿宋_GB2312" w:eastAsia="仿宋_GB2312"/>
                <w:sz w:val="24"/>
                <w:szCs w:val="24"/>
              </w:rPr>
            </w:pPr>
            <w:r>
              <w:rPr>
                <w:rFonts w:hint="eastAsia" w:ascii="仿宋_GB2312" w:eastAsia="仿宋_GB2312" w:hAnsiTheme="minorEastAsia"/>
                <w:sz w:val="24"/>
                <w:szCs w:val="24"/>
              </w:rPr>
              <w:t>学院的仪器设备、教学场地和设施、实验条件、实践教学条件、教学投入，在试点学院项目立项后有较大改善。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833" w:hRule="atLeast"/>
          <w:tblCellSpacing w:w="7" w:type="dxa"/>
          <w:jc w:val="center"/>
        </w:trPr>
        <w:tc>
          <w:tcPr>
            <w:tcW w:w="3010"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管理体制（15分）</w:t>
            </w:r>
          </w:p>
        </w:tc>
        <w:tc>
          <w:tcPr>
            <w:tcW w:w="12159"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建立院长负责、全院参与的试点学院建设机制；落实教学和科研自主权；学校赋予的资源配置权限可以满足改革需要；学校的支持和保障政策有力。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3" w:hRule="atLeast"/>
          <w:tblCellSpacing w:w="7" w:type="dxa"/>
          <w:jc w:val="center"/>
        </w:trPr>
        <w:tc>
          <w:tcPr>
            <w:tcW w:w="301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招生改革（15分）</w:t>
            </w:r>
          </w:p>
        </w:tc>
        <w:tc>
          <w:tcPr>
            <w:tcW w:w="1215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招生计划制定方面在校内拥有较大自主权限；生源招录方式多样；</w:t>
            </w:r>
            <w:r>
              <w:rPr>
                <w:rFonts w:hint="eastAsia" w:ascii="仿宋_GB2312" w:eastAsia="仿宋_GB2312"/>
                <w:sz w:val="24"/>
                <w:szCs w:val="24"/>
              </w:rPr>
              <w:t>学生转专业、转院机制灵活、有利于学生自我发展。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19" w:hRule="atLeast"/>
          <w:tblCellSpacing w:w="7" w:type="dxa"/>
          <w:jc w:val="center"/>
        </w:trPr>
        <w:tc>
          <w:tcPr>
            <w:tcW w:w="301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教学改革（25分）</w:t>
            </w:r>
          </w:p>
        </w:tc>
        <w:tc>
          <w:tcPr>
            <w:tcW w:w="1215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人才培养方案设计能够体现以学生为本，突出学生创新、实践和应用能力导向；教学内容在试点学院立项后进行改革，能够有效对接区域经济社会发展需求；</w:t>
            </w:r>
            <w:r>
              <w:rPr>
                <w:rFonts w:hint="eastAsia" w:ascii="仿宋_GB2312" w:eastAsia="仿宋_GB2312"/>
                <w:sz w:val="24"/>
                <w:szCs w:val="24"/>
              </w:rPr>
              <w:t>在院内广泛推行小班教学，普遍实行启发式、研究式教学或团队学习，激发学生积极性和主动性；专业核心课程建设进程加快，课程水平较高、课程资源丰富多样；实践实验教学体系完备，实践教学有明显成效；</w:t>
            </w:r>
            <w:r>
              <w:rPr>
                <w:rFonts w:hint="eastAsia" w:ascii="仿宋_GB2312" w:eastAsia="仿宋_GB2312" w:hAnsiTheme="minorEastAsia"/>
                <w:sz w:val="24"/>
                <w:szCs w:val="24"/>
              </w:rPr>
              <w:t>科研和教学能够形成有效结合，二者能够良性互动，院内有较多科研成果转化为教学内容；对学分制改革进行了积极探索和有益尝试，教学信息化水平较高。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159" w:hRule="atLeast"/>
          <w:tblCellSpacing w:w="7" w:type="dxa"/>
          <w:jc w:val="center"/>
        </w:trPr>
        <w:tc>
          <w:tcPr>
            <w:tcW w:w="301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师资管理（15分）</w:t>
            </w:r>
          </w:p>
        </w:tc>
        <w:tc>
          <w:tcPr>
            <w:tcW w:w="12159" w:type="dxa"/>
            <w:shd w:val="clear" w:color="auto" w:fill="auto"/>
            <w:vAlign w:val="center"/>
          </w:tcPr>
          <w:p>
            <w:pPr>
              <w:rPr>
                <w:rFonts w:ascii="仿宋_GB2312" w:eastAsia="仿宋_GB2312"/>
                <w:sz w:val="24"/>
                <w:szCs w:val="24"/>
              </w:rPr>
            </w:pPr>
            <w:r>
              <w:rPr>
                <w:rFonts w:hint="eastAsia" w:ascii="仿宋_GB2312" w:eastAsia="仿宋_GB2312"/>
                <w:sz w:val="24"/>
                <w:szCs w:val="24"/>
              </w:rPr>
              <w:t>聘任方式多样化，师资引进和培育力度较大；人事管理与退出方面打破了“铁饭碗”，建立了人才能进能出的流动机制；合理配置教师资源，优化教师队伍结构，加强对师资队伍的多元化、个性化、差别化、人性化管理；优化薪酬结构及绩效考核方案，实行能上能下、轮岗与内控相结合的运转模式，调动教职员的工作积极性，激发教师和管理人员队伍建设的生机活力</w:t>
            </w:r>
            <w:r>
              <w:rPr>
                <w:rFonts w:hint="eastAsia" w:ascii="仿宋_GB2312" w:eastAsia="仿宋_GB2312" w:hAnsiTheme="minorEastAsia"/>
                <w:sz w:val="24"/>
                <w:szCs w:val="24"/>
              </w:rPr>
              <w:t>；</w:t>
            </w:r>
            <w:r>
              <w:rPr>
                <w:rFonts w:hint="eastAsia" w:ascii="仿宋_GB2312" w:eastAsia="仿宋_GB2312"/>
                <w:sz w:val="24"/>
                <w:szCs w:val="24"/>
              </w:rPr>
              <w:t>有专门制度保障和强化教学的中心地位，避免重科研轻教学倾向，高级职称教师为本科生授课比例高、课时多。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159" w:hRule="atLeast"/>
          <w:tblCellSpacing w:w="7" w:type="dxa"/>
          <w:jc w:val="center"/>
        </w:trPr>
        <w:tc>
          <w:tcPr>
            <w:tcW w:w="301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159" w:type="dxa"/>
            <w:shd w:val="clear" w:color="auto" w:fill="auto"/>
            <w:vAlign w:val="center"/>
          </w:tcPr>
          <w:p>
            <w:pPr>
              <w:rPr>
                <w:rFonts w:ascii="仿宋_GB2312" w:eastAsia="仿宋_GB2312"/>
                <w:sz w:val="24"/>
                <w:szCs w:val="24"/>
              </w:rPr>
            </w:pPr>
            <w:r>
              <w:rPr>
                <w:rFonts w:hint="eastAsia" w:ascii="仿宋_GB2312" w:eastAsia="仿宋_GB2312"/>
                <w:sz w:val="24"/>
                <w:szCs w:val="24"/>
              </w:rPr>
              <w:t>试点学院项目建设以来，学生实践能力、创新能力和综合素质提升，发明专利和发表高水平论文或其他创新成果较多；发现、分析和解决问题能力，创新创业能力提高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rPr>
          <w:rFonts w:ascii="仿宋_GB2312" w:eastAsia="仿宋_GB2312"/>
          <w:sz w:val="24"/>
          <w:szCs w:val="24"/>
        </w:rPr>
      </w:pPr>
    </w:p>
    <w:p>
      <w:pPr>
        <w:rPr>
          <w:rFonts w:hint="eastAsia"/>
          <w:lang w:val="en-US" w:eastAsia="zh-CN"/>
        </w:rPr>
      </w:pPr>
      <w:bookmarkStart w:id="14" w:name="_Toc11179"/>
      <w:r>
        <w:rPr>
          <w:rFonts w:hint="eastAsia"/>
          <w:lang w:val="en-US" w:eastAsia="zh-CN"/>
        </w:rPr>
        <w:br w:type="page"/>
      </w:r>
    </w:p>
    <w:p>
      <w:pPr>
        <w:pStyle w:val="2"/>
        <w:bidi w:val="0"/>
      </w:pPr>
      <w:r>
        <w:rPr>
          <w:rFonts w:hint="eastAsia"/>
          <w:lang w:val="en-US" w:eastAsia="zh-CN"/>
        </w:rPr>
        <w:t>广东省教师教学发展中心验收指标体系</w:t>
      </w:r>
      <w:bookmarkEnd w:id="14"/>
    </w:p>
    <w:tbl>
      <w:tblPr>
        <w:tblStyle w:val="9"/>
        <w:tblW w:w="14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3984"/>
        <w:gridCol w:w="1333"/>
        <w:gridCol w:w="7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90" w:type="dxa"/>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一级指标</w:t>
            </w:r>
          </w:p>
        </w:tc>
        <w:tc>
          <w:tcPr>
            <w:tcW w:w="3984" w:type="dxa"/>
            <w:shd w:val="clear" w:color="auto" w:fill="auto"/>
            <w:vAlign w:val="center"/>
          </w:tcPr>
          <w:p>
            <w:pPr>
              <w:ind w:right="84" w:rightChars="4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二级指标</w:t>
            </w:r>
          </w:p>
        </w:tc>
        <w:tc>
          <w:tcPr>
            <w:tcW w:w="1333" w:type="dxa"/>
            <w:shd w:val="clear" w:color="auto" w:fill="auto"/>
            <w:vAlign w:val="center"/>
          </w:tcPr>
          <w:p>
            <w:pPr>
              <w:ind w:right="84" w:rightChars="4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7071" w:type="dxa"/>
            <w:shd w:val="clear" w:color="auto" w:fill="auto"/>
            <w:vAlign w:val="center"/>
          </w:tcPr>
          <w:p>
            <w:pPr>
              <w:ind w:right="84" w:rightChars="4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390" w:type="dxa"/>
            <w:vMerge w:val="restart"/>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1.机构编制（20分）</w:t>
            </w:r>
          </w:p>
        </w:tc>
        <w:tc>
          <w:tcPr>
            <w:tcW w:w="3984" w:type="dxa"/>
            <w:shd w:val="clear" w:color="auto" w:fill="auto"/>
            <w:vAlign w:val="center"/>
          </w:tcPr>
          <w:p>
            <w:pPr>
              <w:ind w:right="84" w:rightChars="4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1.1专门机构</w:t>
            </w:r>
          </w:p>
        </w:tc>
        <w:tc>
          <w:tcPr>
            <w:tcW w:w="1333" w:type="dxa"/>
            <w:shd w:val="clear" w:color="auto" w:fill="auto"/>
            <w:vAlign w:val="center"/>
          </w:tcPr>
          <w:p>
            <w:pPr>
              <w:ind w:right="84" w:rightChars="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参考登记表和佐证材料综合判断。成立独立一级正处级及以上机构者为A，副处一级挂靠机构者为B，科级及以下机构者为C，未成立专门机构者为D. 如无独立机构，则无论最终得分多寡，均不予通过。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390" w:type="dxa"/>
            <w:vMerge w:val="continue"/>
            <w:shd w:val="clear" w:color="auto" w:fill="auto"/>
            <w:vAlign w:val="center"/>
          </w:tcPr>
          <w:p>
            <w:pPr>
              <w:jc w:val="center"/>
              <w:rPr>
                <w:rFonts w:hint="eastAsia" w:ascii="仿宋_GB2312" w:hAnsi="仿宋_GB2312" w:eastAsia="仿宋_GB2312" w:cs="仿宋_GB2312"/>
                <w:b/>
                <w:sz w:val="24"/>
                <w:szCs w:val="24"/>
              </w:rPr>
            </w:pPr>
          </w:p>
        </w:tc>
        <w:tc>
          <w:tcPr>
            <w:tcW w:w="3984" w:type="dxa"/>
            <w:shd w:val="clear" w:color="auto" w:fill="auto"/>
            <w:vAlign w:val="center"/>
          </w:tcPr>
          <w:p>
            <w:pPr>
              <w:ind w:right="-86" w:rightChars="-4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1.2固定编制</w:t>
            </w:r>
          </w:p>
        </w:tc>
        <w:tc>
          <w:tcPr>
            <w:tcW w:w="1333" w:type="dxa"/>
            <w:shd w:val="clear" w:color="auto" w:fill="auto"/>
            <w:vAlign w:val="center"/>
          </w:tcPr>
          <w:p>
            <w:pPr>
              <w:ind w:right="84" w:rightChars="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参考登记表和佐证材料综合判断。已落实固定编制7人及以上者为A,4-6人者为B，1-3人者为C，无固定编制者为D。如无固定编制或有编制未落实编制人员，则无论最终得分多寡，均不予通过。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vMerge w:val="continue"/>
            <w:shd w:val="clear" w:color="auto" w:fill="auto"/>
            <w:vAlign w:val="center"/>
          </w:tcPr>
          <w:p>
            <w:pPr>
              <w:jc w:val="center"/>
              <w:rPr>
                <w:rFonts w:hint="eastAsia" w:ascii="仿宋_GB2312" w:hAnsi="仿宋_GB2312" w:eastAsia="仿宋_GB2312" w:cs="仿宋_GB2312"/>
                <w:b/>
                <w:sz w:val="24"/>
                <w:szCs w:val="24"/>
              </w:rPr>
            </w:pPr>
          </w:p>
        </w:tc>
        <w:tc>
          <w:tcPr>
            <w:tcW w:w="3984" w:type="dxa"/>
            <w:shd w:val="clear" w:color="auto" w:fill="auto"/>
            <w:vAlign w:val="center"/>
          </w:tcPr>
          <w:p>
            <w:pPr>
              <w:ind w:right="84" w:rightChars="4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1.3专职人员</w:t>
            </w:r>
          </w:p>
        </w:tc>
        <w:tc>
          <w:tcPr>
            <w:tcW w:w="1333" w:type="dxa"/>
            <w:shd w:val="clear" w:color="auto" w:fill="auto"/>
            <w:vAlign w:val="center"/>
          </w:tcPr>
          <w:p>
            <w:pPr>
              <w:ind w:right="84" w:rightChars="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参考登记表和佐证材料综合判断。目前中心专职人员（含中心专职教师、专职工作人员）15人以上的评为A，9-14人的评为B，4-8人的评为C，3人及以下的评为D.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390" w:type="dxa"/>
            <w:vMerge w:val="restart"/>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2.经费投入</w:t>
            </w:r>
          </w:p>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（15分）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2.1经费规模</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pStyle w:val="8"/>
              <w:spacing w:before="0" w:beforeAutospacing="0" w:after="0" w:afterAutospacing="0"/>
              <w:rPr>
                <w:rStyle w:val="15"/>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参考登记表和佐证材料综合判断。经费投入符合中心发展建设和各项工作开展需要。经费充足者评为A或B，否则评为C或D.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90" w:type="dxa"/>
            <w:vMerge w:val="continue"/>
            <w:shd w:val="clear" w:color="auto" w:fill="auto"/>
            <w:vAlign w:val="center"/>
          </w:tcPr>
          <w:p>
            <w:pPr>
              <w:jc w:val="center"/>
              <w:rPr>
                <w:rFonts w:hint="eastAsia" w:ascii="仿宋_GB2312" w:hAnsi="仿宋_GB2312" w:eastAsia="仿宋_GB2312" w:cs="仿宋_GB2312"/>
                <w:b/>
                <w:sz w:val="24"/>
                <w:szCs w:val="24"/>
              </w:rPr>
            </w:pP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2.2经费用途</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jc w:val="left"/>
              <w:rPr>
                <w:rStyle w:val="15"/>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参考登记表和佐证材料综合判断。经费使用用途分配合理，对于中心软硬件建设和业务开展均形成良好支持。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90" w:type="dxa"/>
            <w:vMerge w:val="continue"/>
            <w:shd w:val="clear" w:color="auto" w:fill="auto"/>
            <w:vAlign w:val="center"/>
          </w:tcPr>
          <w:p>
            <w:pPr>
              <w:jc w:val="center"/>
              <w:rPr>
                <w:rFonts w:hint="eastAsia" w:ascii="仿宋_GB2312" w:hAnsi="仿宋_GB2312" w:eastAsia="仿宋_GB2312" w:cs="仿宋_GB2312"/>
                <w:b/>
                <w:sz w:val="24"/>
                <w:szCs w:val="24"/>
              </w:rPr>
            </w:pPr>
          </w:p>
        </w:tc>
        <w:tc>
          <w:tcPr>
            <w:tcW w:w="3984" w:type="dxa"/>
            <w:shd w:val="clear" w:color="auto" w:fill="auto"/>
            <w:vAlign w:val="center"/>
          </w:tcPr>
          <w:p>
            <w:pPr>
              <w:ind w:right="84" w:rightChars="4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2.3经费制度</w:t>
            </w:r>
          </w:p>
        </w:tc>
        <w:tc>
          <w:tcPr>
            <w:tcW w:w="1333" w:type="dxa"/>
            <w:shd w:val="clear" w:color="auto" w:fill="auto"/>
            <w:vAlign w:val="center"/>
          </w:tcPr>
          <w:p>
            <w:pPr>
              <w:ind w:right="84" w:rightChars="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pStyle w:val="8"/>
              <w:spacing w:before="0" w:beforeAutospacing="0" w:after="0" w:afterAutospacing="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学校对于教师教学发展中心投入制度化，已形成比较稳定的经费投入机制；中心经费使用方面有较为完善管理制度。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restart"/>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3.场地设备（15分）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3.1场地类型和面积</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中心需要有固定的办公场地和业务使用场地，针对各类不同业务有多种类型场地作为配套支撑，场地面积足够满足业务开展需要，场地面向教师开放。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continue"/>
            <w:shd w:val="clear" w:color="auto" w:fill="auto"/>
            <w:vAlign w:val="center"/>
          </w:tcPr>
          <w:p>
            <w:pPr>
              <w:ind w:firstLine="602" w:firstLineChars="250"/>
              <w:jc w:val="center"/>
              <w:rPr>
                <w:rFonts w:hint="eastAsia" w:ascii="仿宋_GB2312" w:hAnsi="仿宋_GB2312" w:eastAsia="仿宋_GB2312" w:cs="仿宋_GB2312"/>
                <w:b/>
                <w:sz w:val="24"/>
                <w:szCs w:val="24"/>
              </w:rPr>
            </w:pP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3.2设备的多样性和适用性</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根据场地所承载的业务需求配备设备，设备数量充足、类型齐全、实用性强，设备价值总值较高。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restart"/>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4.制度建设</w:t>
            </w:r>
          </w:p>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（10分）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4.1中心管理运行制度</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参考登记表和佐证材料综合判断。中心已建立齐备的运行管理制度，制度内容科学、详实、可操作。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continue"/>
            <w:shd w:val="clear" w:color="auto" w:fill="auto"/>
            <w:vAlign w:val="center"/>
          </w:tcPr>
          <w:p>
            <w:pPr>
              <w:jc w:val="center"/>
              <w:rPr>
                <w:rFonts w:hint="eastAsia" w:ascii="仿宋_GB2312" w:hAnsi="仿宋_GB2312" w:eastAsia="仿宋_GB2312" w:cs="仿宋_GB2312"/>
                <w:b/>
                <w:sz w:val="24"/>
                <w:szCs w:val="24"/>
              </w:rPr>
            </w:pP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4.2中心师资发展制度</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参考登记表和佐证材料综合判断。在教师教学能力提升方面已建立比较完善的制度或方案，且在运行中得到有效执行，并取得明显成果。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vMerge w:val="restart"/>
            <w:shd w:val="clear" w:color="auto" w:fill="auto"/>
            <w:vAlign w:val="center"/>
          </w:tcPr>
          <w:p>
            <w:pPr>
              <w:ind w:left="211" w:hanging="241" w:hangingChars="1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5.业务活动(15分)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5.1活动的种类和数量</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参考登记表和佐证材料综合判断。活动类型多样，形式灵活（包括培训、研讨、交流、咨询、评估等），数量较多。满足上述条件者评A或B，否则评C或D。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vMerge w:val="continue"/>
            <w:shd w:val="clear" w:color="auto" w:fill="auto"/>
            <w:vAlign w:val="center"/>
          </w:tcPr>
          <w:p>
            <w:pPr>
              <w:rPr>
                <w:rFonts w:hint="eastAsia" w:ascii="仿宋_GB2312" w:hAnsi="仿宋_GB2312" w:eastAsia="仿宋_GB2312" w:cs="仿宋_GB2312"/>
                <w:b/>
                <w:sz w:val="24"/>
                <w:szCs w:val="24"/>
              </w:rPr>
            </w:pP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5.2活动的层次和效果</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参考登记表和佐证材料综合判断。中心举办的活动层次较高，覆盖范围较广（至少覆盖全校乃至全省），活动目的明确、针对性强，对于教师教学能力提升有实际效果。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shd w:val="clear" w:color="auto" w:fill="auto"/>
            <w:vAlign w:val="center"/>
          </w:tcPr>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6.成果与特色（5分）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6.1中心建设成效和主要特色</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中心立项以来，在基础条件建设及教师教学能力提升方面均取得实际效果，中心代表性成果层次较高、特色鲜明并应用于工作实际，成果和特色在全省具有示范和借鉴意义。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shd w:val="clear" w:color="auto" w:fill="auto"/>
            <w:vAlign w:val="center"/>
          </w:tcPr>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7.信息化建设（5分）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7.1信息化建设情况</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中心已经建立专属网站，拥有较为先进的信息技术平台，并能够利用信息技术和平台辅助中心的核心业务，扩大中心影响和辐射面。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shd w:val="clear" w:color="auto" w:fill="auto"/>
            <w:vAlign w:val="center"/>
          </w:tcPr>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8.未来建设规划（5分）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8.1未来建设规划情况</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中心未来建设规划目标明确、科学，保障措施具体得力，按照未来的建设规划，中心的建设成效能够得到持续积累，中心功能得到稳定持续发挥。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390" w:type="dxa"/>
            <w:shd w:val="clear" w:color="auto" w:fill="auto"/>
            <w:vAlign w:val="center"/>
          </w:tcPr>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9.材料完整性（10分）</w:t>
            </w:r>
          </w:p>
        </w:tc>
        <w:tc>
          <w:tcPr>
            <w:tcW w:w="3984"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9.1材料完整和规范</w:t>
            </w:r>
          </w:p>
        </w:tc>
        <w:tc>
          <w:tcPr>
            <w:tcW w:w="133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71" w:type="dxa"/>
            <w:shd w:val="clear" w:color="auto" w:fill="auto"/>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完整填写和上报了项目检查验收登记表、自评报告及佐证材料、填写了网站网址，各项材料内容完备，详实，能够如实反映项目建设情况。</w:t>
            </w:r>
          </w:p>
        </w:tc>
      </w:tr>
    </w:tbl>
    <w:p>
      <w:pPr>
        <w:spacing w:before="312" w:beforeLines="100" w:after="312" w:afterLines="100"/>
        <w:jc w:val="both"/>
        <w:rPr>
          <w:rFonts w:hint="eastAsia" w:ascii="黑体" w:hAnsi="黑体" w:eastAsia="黑体"/>
          <w:sz w:val="32"/>
          <w:szCs w:val="28"/>
        </w:rPr>
      </w:pPr>
    </w:p>
    <w:p>
      <w:pPr>
        <w:pStyle w:val="2"/>
        <w:bidi w:val="0"/>
      </w:pPr>
      <w:bookmarkStart w:id="15" w:name="_Toc24949"/>
      <w:r>
        <w:rPr>
          <w:rFonts w:hint="eastAsia"/>
        </w:rPr>
        <w:t>广东省本科高校在线开放课程建设上线标准(试行</w:t>
      </w:r>
      <w:r>
        <w:t>)</w:t>
      </w:r>
      <w:bookmarkEnd w:id="15"/>
    </w:p>
    <w:p>
      <w:pPr>
        <w:pStyle w:val="3"/>
        <w:spacing w:before="156" w:after="156"/>
        <w:ind w:left="419" w:hanging="419" w:hangingChars="149"/>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总体要求</w:t>
      </w:r>
    </w:p>
    <w:tbl>
      <w:tblPr>
        <w:tblStyle w:val="9"/>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2"/>
        <w:gridCol w:w="1886"/>
        <w:gridCol w:w="11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 w:hRule="atLeast"/>
        </w:trPr>
        <w:tc>
          <w:tcPr>
            <w:tcW w:w="1182" w:type="dxa"/>
            <w:vAlign w:val="center"/>
          </w:tcPr>
          <w:p>
            <w:pPr>
              <w:widowControl/>
              <w:spacing w:line="240" w:lineRule="atLeast"/>
              <w:jc w:val="center"/>
              <w:rPr>
                <w:rFonts w:ascii="仿宋" w:hAnsi="仿宋" w:eastAsia="仿宋" w:cs="仿宋"/>
                <w:kern w:val="0"/>
                <w:sz w:val="24"/>
                <w:szCs w:val="24"/>
              </w:rPr>
            </w:pPr>
            <w:r>
              <w:rPr>
                <w:rFonts w:ascii="仿宋" w:hAnsi="仿宋" w:eastAsia="仿宋" w:cs="仿宋"/>
                <w:kern w:val="0"/>
                <w:sz w:val="24"/>
                <w:szCs w:val="24"/>
              </w:rPr>
              <w:t>序号</w:t>
            </w:r>
          </w:p>
        </w:tc>
        <w:tc>
          <w:tcPr>
            <w:tcW w:w="1886" w:type="dxa"/>
            <w:vAlign w:val="center"/>
          </w:tcPr>
          <w:p>
            <w:pPr>
              <w:widowControl/>
              <w:spacing w:line="240" w:lineRule="atLeast"/>
              <w:jc w:val="center"/>
              <w:rPr>
                <w:rFonts w:ascii="仿宋" w:hAnsi="仿宋" w:eastAsia="仿宋" w:cs="仿宋"/>
                <w:kern w:val="0"/>
                <w:sz w:val="24"/>
                <w:szCs w:val="24"/>
              </w:rPr>
            </w:pPr>
            <w:r>
              <w:rPr>
                <w:rFonts w:ascii="仿宋" w:hAnsi="仿宋" w:eastAsia="仿宋" w:cs="仿宋"/>
                <w:kern w:val="0"/>
                <w:sz w:val="24"/>
                <w:szCs w:val="24"/>
              </w:rPr>
              <w:t>项目</w:t>
            </w:r>
          </w:p>
        </w:tc>
        <w:tc>
          <w:tcPr>
            <w:tcW w:w="11010" w:type="dxa"/>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建设</w:t>
            </w:r>
            <w:r>
              <w:rPr>
                <w:rFonts w:ascii="仿宋" w:hAnsi="仿宋" w:eastAsia="仿宋" w:cs="仿宋"/>
                <w:kern w:val="0"/>
                <w:sz w:val="24"/>
                <w:szCs w:val="24"/>
              </w:rPr>
              <w:t>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1182" w:type="dxa"/>
            <w:vAlign w:val="center"/>
          </w:tcPr>
          <w:p>
            <w:pPr>
              <w:widowControl/>
              <w:spacing w:line="240" w:lineRule="atLeast"/>
              <w:jc w:val="center"/>
              <w:rPr>
                <w:rFonts w:ascii="仿宋" w:hAnsi="仿宋" w:eastAsia="仿宋" w:cs="仿宋"/>
                <w:kern w:val="0"/>
                <w:sz w:val="24"/>
                <w:szCs w:val="24"/>
              </w:rPr>
            </w:pPr>
            <w:r>
              <w:rPr>
                <w:rFonts w:ascii="仿宋" w:hAnsi="仿宋" w:eastAsia="仿宋" w:cs="仿宋"/>
                <w:kern w:val="0"/>
                <w:sz w:val="24"/>
                <w:szCs w:val="24"/>
              </w:rPr>
              <w:t>1</w:t>
            </w:r>
          </w:p>
        </w:tc>
        <w:tc>
          <w:tcPr>
            <w:tcW w:w="1886" w:type="dxa"/>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教学目标</w:t>
            </w:r>
          </w:p>
        </w:tc>
        <w:tc>
          <w:tcPr>
            <w:tcW w:w="11010" w:type="dxa"/>
          </w:tcPr>
          <w:p>
            <w:pPr>
              <w:widowControl/>
              <w:spacing w:line="240" w:lineRule="atLeast"/>
              <w:ind w:left="127"/>
              <w:jc w:val="left"/>
              <w:rPr>
                <w:rFonts w:ascii="仿宋" w:hAnsi="仿宋" w:eastAsia="仿宋" w:cs="仿宋"/>
                <w:kern w:val="0"/>
                <w:sz w:val="24"/>
                <w:szCs w:val="24"/>
              </w:rPr>
            </w:pPr>
            <w:r>
              <w:rPr>
                <w:rFonts w:hint="eastAsia" w:ascii="仿宋" w:hAnsi="仿宋" w:eastAsia="仿宋" w:cs="仿宋"/>
                <w:kern w:val="0"/>
                <w:sz w:val="24"/>
                <w:szCs w:val="24"/>
              </w:rPr>
              <w:t>（1）坚持以人为本、德育为先、能力为重、全面发展的原则，注重基本素养、专业基础知识、专业技能的培养，注重基本科研素质和创新实践能力的培养</w:t>
            </w:r>
          </w:p>
          <w:p>
            <w:pPr>
              <w:widowControl/>
              <w:spacing w:line="240" w:lineRule="atLeast"/>
              <w:ind w:left="127"/>
              <w:jc w:val="left"/>
              <w:rPr>
                <w:rFonts w:ascii="仿宋" w:hAnsi="仿宋" w:eastAsia="仿宋" w:cs="仿宋"/>
                <w:kern w:val="0"/>
                <w:sz w:val="24"/>
                <w:szCs w:val="24"/>
              </w:rPr>
            </w:pPr>
            <w:r>
              <w:rPr>
                <w:rFonts w:hint="eastAsia" w:ascii="仿宋" w:hAnsi="仿宋" w:eastAsia="仿宋" w:cs="仿宋"/>
                <w:kern w:val="0"/>
                <w:sz w:val="24"/>
                <w:szCs w:val="24"/>
              </w:rPr>
              <w:t>（2）在线课程需根据专业特点和目标学生的能力、需求等特点，结合在线开放课程教学的特征制定清晰的教学目标。</w:t>
            </w:r>
          </w:p>
          <w:p>
            <w:pPr>
              <w:widowControl/>
              <w:spacing w:line="240" w:lineRule="atLeast"/>
              <w:ind w:left="127"/>
              <w:jc w:val="left"/>
              <w:rPr>
                <w:rFonts w:ascii="仿宋" w:hAnsi="仿宋" w:eastAsia="仿宋" w:cs="仿宋"/>
                <w:kern w:val="0"/>
                <w:sz w:val="24"/>
                <w:szCs w:val="24"/>
              </w:rPr>
            </w:pPr>
            <w:r>
              <w:rPr>
                <w:rFonts w:hint="eastAsia" w:ascii="仿宋" w:hAnsi="仿宋" w:eastAsia="仿宋" w:cs="仿宋"/>
                <w:kern w:val="0"/>
                <w:sz w:val="24"/>
                <w:szCs w:val="24"/>
              </w:rPr>
              <w:t>（3）每个教学单元、模块或专题都有明确的知识、技能、或情感目标，目标实现与否可以测量，注重知识的运用能力。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9" w:hRule="atLeast"/>
        </w:trPr>
        <w:tc>
          <w:tcPr>
            <w:tcW w:w="1182" w:type="dxa"/>
            <w:vAlign w:val="center"/>
          </w:tcPr>
          <w:p>
            <w:pPr>
              <w:widowControl/>
              <w:spacing w:line="240" w:lineRule="atLeast"/>
              <w:jc w:val="center"/>
              <w:rPr>
                <w:rFonts w:ascii="仿宋" w:hAnsi="仿宋" w:eastAsia="仿宋" w:cs="仿宋"/>
                <w:kern w:val="0"/>
                <w:sz w:val="24"/>
                <w:szCs w:val="24"/>
              </w:rPr>
            </w:pPr>
            <w:r>
              <w:rPr>
                <w:rFonts w:ascii="仿宋" w:hAnsi="仿宋" w:eastAsia="仿宋" w:cs="仿宋"/>
                <w:kern w:val="0"/>
                <w:sz w:val="24"/>
                <w:szCs w:val="24"/>
              </w:rPr>
              <w:t>2</w:t>
            </w:r>
          </w:p>
        </w:tc>
        <w:tc>
          <w:tcPr>
            <w:tcW w:w="1886" w:type="dxa"/>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教学内容</w:t>
            </w:r>
            <w:r>
              <w:rPr>
                <w:rFonts w:ascii="仿宋" w:hAnsi="仿宋" w:eastAsia="仿宋" w:cs="仿宋"/>
                <w:kern w:val="0"/>
                <w:sz w:val="24"/>
                <w:szCs w:val="24"/>
              </w:rPr>
              <w:t>与资源</w:t>
            </w:r>
          </w:p>
        </w:tc>
        <w:tc>
          <w:tcPr>
            <w:tcW w:w="11010" w:type="dxa"/>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（1）坚持立德树人，能够将思想政治教育内容化为课程内容，弘扬社会主义核心价值观。</w:t>
            </w:r>
          </w:p>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（2）教学内容需准确、系统、全面，体现现代教育思想、教学理念，符合教育教学规律，符合社会主义价值观，符合目标学习者的学习能力和学习需求；注重知识的实用性和思想性，并突出课程特色。</w:t>
            </w:r>
          </w:p>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3）教学资源的形式包含课件、测评和其他辅助学习资料。其中课件包括教学视频、音频、教案、演示文稿、动画、虚拟仿真等，规格应遵循行业通行的网络教育技术标准；测评包括随堂提问、讨论、课后作业、阶段性测验、考试等。</w:t>
            </w:r>
          </w:p>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（4）教学视频以短视频为主，每个短视频时长以不超过15分钟为宜，要求画面美观、内容丰富、图像和声音清晰、字幕完整准确，教师仪态自然轻松，语言富感染力；</w:t>
            </w:r>
          </w:p>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5）注重形成性评价，按知识点、单元、模块等设置作业或测评，帮助学生及时掌握学习内容，帮助教师获得学习效果及时反馈；注重互动交流，引导学生讨论，开展互帮互学，形成学习社区。视频、音频、演示文稿等需经过精心设计和制作，注重提高学生学习兴趣。</w:t>
            </w:r>
          </w:p>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（6）教学资源力求丰富多样，充分发挥在线教育教学的优势，在数量和类型上力求超出传统实体课堂所调用的资源范围，实现资源冗余，以方便教师自主搭建课程和学生拓展学习。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0" w:hRule="atLeast"/>
        </w:trPr>
        <w:tc>
          <w:tcPr>
            <w:tcW w:w="118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886"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教学设计与方法</w:t>
            </w:r>
          </w:p>
        </w:tc>
        <w:tc>
          <w:tcPr>
            <w:tcW w:w="11010" w:type="dxa"/>
          </w:tcPr>
          <w:p>
            <w:pPr>
              <w:widowControl/>
              <w:numPr>
                <w:ilvl w:val="0"/>
                <w:numId w:val="2"/>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以教学目标为导向，遵循有效教学的基本规律，结合在线开放课程教学的特征与需求进行整体的教学设计。</w:t>
            </w:r>
          </w:p>
          <w:p>
            <w:pPr>
              <w:widowControl/>
              <w:numPr>
                <w:ilvl w:val="0"/>
                <w:numId w:val="2"/>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需根据教学目标、学科特点、网络学习者的认知规律，围绕学科核心概念，以模块、单元和知识点为基本框架，合理有序地设计课程结构；</w:t>
            </w:r>
          </w:p>
          <w:p>
            <w:pPr>
              <w:widowControl/>
              <w:numPr>
                <w:ilvl w:val="0"/>
                <w:numId w:val="2"/>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教学环节设计完整，包括课前预习材料、课中教学、课后互动讨论答疑、课外见面、扩展学习等；</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（4）采取符合在线学习者习惯和心理的教学策略，积极运用案例式、混合式、探究式等多种教学方法提升学习兴趣和效果；</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（5）精心设计教学活动，有明确合理的学习评价策略和学习激励措施。</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（6）教学设计要有利于开展翻转课堂、混合式教学等多种方式的课堂教学，有利于信息技术与课堂教学的深度融合和创新应用。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7" w:hRule="atLeast"/>
        </w:trPr>
        <w:tc>
          <w:tcPr>
            <w:tcW w:w="118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886"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教学活动与评价</w:t>
            </w:r>
          </w:p>
        </w:tc>
        <w:tc>
          <w:tcPr>
            <w:tcW w:w="11010"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（1）教学活动要体现以学生为主体、以教师为主导的教育理念，能综合运用多种方式、多种手段开展教学活动。</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建立多元化学习评价体系，有明确合理的课程整体评价策略和各学习周、知识单元的评价策略，包括完成课程学习必须的各项学习活动的数量及评分的标准等，探索线上和线下融合，过程性评价与终结性评价相结合的多元化考核评价模式，促进学生自主性学习、过程性学习和体验式学习，促进师生之间、学生之间进行资源共享、问题交流和协作学习，加强师生课堂与课下的互动，激发学生学习兴趣。</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（3）按章节建设含有足够题型和题量的题库，便于系统自动组卷和各类型的学习评价。</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教学活动和评价的类型包括但不限于视频中插入随堂练习、知识点配套的课后练习题、阶段性作业或测验、同伴互评、主题讨论、互动答疑、学习问卷、社交工具互动等，课程成绩由过程性考核和终结性考核综合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9" w:hRule="atLeast"/>
        </w:trPr>
        <w:tc>
          <w:tcPr>
            <w:tcW w:w="118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886"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团队支持与服务</w:t>
            </w:r>
          </w:p>
        </w:tc>
        <w:tc>
          <w:tcPr>
            <w:tcW w:w="11010"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（1）课程团队的知识结构、年龄结构及任务分工合理，团队成员人数以3-5人为宜。</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（2）课程建设负责人应为高校正式聘用，具有良好师德、丰富的教学经验和较高的学术造诣的教师；</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（3）支持和鼓励教学名师、知名专家主讲开放课程；</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（4）主讲教师应为教学一线长期承担本课程教学任务的教师；</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（5）团队中需配备具有网络教学经验、在线开放课程建设经验的教师或教育技术专业教师，以及能长期在线服务教学并承担在线辅导、答疑等工作的助教人员。</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（6）鼓励定期开设线下见面课或远程视频互动课，加强师生和生生之间的互动交流。</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（7）鼓励开展跨校、跨专业、跨层次建设满足不同教学需要、不同学习需求的在线开放课程或课程群。</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（8）课程团队应积极开展教学研讨工作，通过在线开放课程建设，形成一支教学、辅导、设计和技术支持等结构合理、人员稳定、教学水平高、教学效果好、资源设计和制作能力强的优秀课程教学团队。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trPr>
        <w:tc>
          <w:tcPr>
            <w:tcW w:w="118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886"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教学效果与改进</w:t>
            </w:r>
          </w:p>
        </w:tc>
        <w:tc>
          <w:tcPr>
            <w:tcW w:w="11010"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基于大数据信息采集分析，全程记录和跟踪教师的教学、学生的学习过程、学习进度、内容和反馈，全面跟踪和分析每个学生的个性特点、学习行为，对进度缓慢或有可能弃学的学生进行回访和提醒，同时为学习者提供及时的反馈信息。</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（2）开展学习者问卷调查。通过学习数据、师生交互、调查等反馈信息，改进教学内容、活动和评价设计，开展教学研究。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9" w:hRule="atLeast"/>
        </w:trPr>
        <w:tc>
          <w:tcPr>
            <w:tcW w:w="1182" w:type="dxa"/>
            <w:vAlign w:val="center"/>
          </w:tcPr>
          <w:p>
            <w:pPr>
              <w:widowControl/>
              <w:spacing w:line="240" w:lineRule="atLeast"/>
              <w:jc w:val="center"/>
              <w:rPr>
                <w:rFonts w:ascii="仿宋" w:hAnsi="仿宋" w:eastAsia="仿宋" w:cs="仿宋"/>
                <w:kern w:val="0"/>
              </w:rPr>
            </w:pPr>
            <w:r>
              <w:rPr>
                <w:rFonts w:hint="eastAsia" w:ascii="仿宋" w:hAnsi="仿宋" w:eastAsia="仿宋" w:cs="仿宋"/>
                <w:kern w:val="0"/>
              </w:rPr>
              <w:t>7</w:t>
            </w:r>
          </w:p>
        </w:tc>
        <w:tc>
          <w:tcPr>
            <w:tcW w:w="1886" w:type="dxa"/>
            <w:vAlign w:val="center"/>
          </w:tcPr>
          <w:p>
            <w:pPr>
              <w:widowControl/>
              <w:spacing w:line="240" w:lineRule="atLeast"/>
              <w:jc w:val="center"/>
              <w:rPr>
                <w:rFonts w:ascii="仿宋" w:hAnsi="仿宋" w:eastAsia="仿宋" w:cs="仿宋"/>
                <w:kern w:val="0"/>
              </w:rPr>
            </w:pPr>
            <w:r>
              <w:rPr>
                <w:rFonts w:hint="eastAsia" w:ascii="仿宋" w:hAnsi="仿宋" w:eastAsia="仿宋" w:cs="仿宋"/>
                <w:kern w:val="0"/>
              </w:rPr>
              <w:t>信息安全及知识产权保障</w:t>
            </w:r>
          </w:p>
        </w:tc>
        <w:tc>
          <w:tcPr>
            <w:tcW w:w="11010" w:type="dxa"/>
          </w:tcPr>
          <w:p>
            <w:pPr>
              <w:widowControl/>
              <w:spacing w:line="240" w:lineRule="atLeast"/>
              <w:jc w:val="left"/>
              <w:rPr>
                <w:rFonts w:ascii="仿宋" w:hAnsi="仿宋" w:eastAsia="仿宋" w:cs="仿宋"/>
                <w:kern w:val="0"/>
              </w:rPr>
            </w:pPr>
            <w:r>
              <w:rPr>
                <w:rFonts w:hint="eastAsia" w:ascii="仿宋" w:hAnsi="仿宋" w:eastAsia="仿宋" w:cs="仿宋"/>
                <w:kern w:val="0"/>
              </w:rPr>
              <w:t>（1）上线课程建设团队成员需严格遵守</w:t>
            </w:r>
            <w:r>
              <w:rPr>
                <w:rFonts w:hint="eastAsia" w:ascii="仿宋_GB2312" w:hAnsi="宋体" w:eastAsia="仿宋_GB2312"/>
                <w:szCs w:val="21"/>
              </w:rPr>
              <w:t>国家安全、保密和法律规定</w:t>
            </w:r>
            <w:r>
              <w:rPr>
                <w:rFonts w:hint="eastAsia" w:ascii="仿宋" w:hAnsi="仿宋" w:eastAsia="仿宋" w:cs="仿宋"/>
                <w:kern w:val="0"/>
              </w:rPr>
              <w:t>，依法依规开展教学活动，实施对课程内容、讨论内容、学习过程内容的有效监管，防范和及时制止网络有害信息的传播。</w:t>
            </w:r>
          </w:p>
          <w:p>
            <w:pPr>
              <w:widowControl/>
              <w:spacing w:line="240" w:lineRule="atLeast"/>
              <w:jc w:val="left"/>
              <w:rPr>
                <w:rFonts w:ascii="仿宋_GB2312" w:hAnsi="宋体" w:eastAsia="仿宋_GB2312"/>
                <w:szCs w:val="21"/>
              </w:rPr>
            </w:pPr>
            <w:r>
              <w:rPr>
                <w:rFonts w:hint="eastAsia" w:ascii="仿宋" w:hAnsi="仿宋" w:eastAsia="仿宋" w:cs="仿宋"/>
                <w:kern w:val="0"/>
              </w:rPr>
              <w:t>（2）重视版权和知识产权问题，教学资源中所使用的图片、音视频等素材应注明出处。</w:t>
            </w:r>
            <w:r>
              <w:rPr>
                <w:rFonts w:hint="eastAsia" w:ascii="仿宋_GB2312" w:hAnsi="宋体" w:eastAsia="仿宋_GB2312"/>
                <w:szCs w:val="21"/>
              </w:rPr>
              <w:t>保证课程资源的知识产权清晰、明确，不存在侵犯他人合法权益的情形。</w:t>
            </w:r>
          </w:p>
          <w:p>
            <w:pPr>
              <w:widowControl/>
              <w:spacing w:line="240" w:lineRule="atLeast"/>
              <w:jc w:val="left"/>
              <w:rPr>
                <w:rFonts w:ascii="仿宋_GB2312" w:hAnsi="宋体" w:eastAsia="仿宋_GB2312"/>
                <w:szCs w:val="21"/>
              </w:rPr>
            </w:pPr>
            <w:r>
              <w:rPr>
                <w:rFonts w:hint="eastAsia" w:ascii="仿宋_GB2312" w:hAnsi="宋体" w:eastAsia="仿宋_GB2312"/>
                <w:szCs w:val="21"/>
              </w:rPr>
              <w:t>（3）保证课程内容不存在政治性、思想性、科学性和规范性问题以及侵犯知识产权、肖像权等问题，适合网上公开使用。</w:t>
            </w:r>
          </w:p>
          <w:p>
            <w:pPr>
              <w:widowControl/>
              <w:spacing w:line="240" w:lineRule="atLeast"/>
              <w:jc w:val="left"/>
              <w:rPr>
                <w:rFonts w:ascii="仿宋" w:hAnsi="仿宋" w:eastAsia="仿宋" w:cs="仿宋"/>
                <w:kern w:val="0"/>
              </w:rPr>
            </w:pPr>
            <w:r>
              <w:rPr>
                <w:rFonts w:hint="eastAsia" w:ascii="仿宋" w:hAnsi="仿宋" w:eastAsia="仿宋" w:cs="仿宋"/>
                <w:kern w:val="0"/>
              </w:rPr>
              <w:t>（4）除特别约定外，省在线开放课程，所有权归属建设高校或课程团队。</w:t>
            </w:r>
          </w:p>
          <w:p>
            <w:pPr>
              <w:widowControl/>
              <w:spacing w:line="240" w:lineRule="atLeast"/>
              <w:jc w:val="left"/>
              <w:rPr>
                <w:rFonts w:ascii="仿宋" w:hAnsi="仿宋" w:eastAsia="仿宋" w:cs="仿宋"/>
                <w:kern w:val="0"/>
              </w:rPr>
            </w:pPr>
            <w:r>
              <w:rPr>
                <w:rFonts w:hint="eastAsia" w:ascii="仿宋" w:hAnsi="仿宋" w:eastAsia="仿宋" w:cs="仿宋"/>
                <w:kern w:val="0"/>
              </w:rPr>
              <w:t>（5）相关高校、课程建设团队均须签订平等互利的知识产权保障协议，明确各方权利和义务，切实保障各方权益。</w:t>
            </w:r>
          </w:p>
        </w:tc>
      </w:tr>
    </w:tbl>
    <w:p>
      <w:pPr>
        <w:pStyle w:val="2"/>
        <w:spacing w:before="156" w:after="156"/>
        <w:rPr>
          <w:rFonts w:ascii="仿宋_GB2312" w:eastAsia="仿宋_GB2312"/>
          <w:sz w:val="28"/>
          <w:szCs w:val="28"/>
        </w:rPr>
      </w:pPr>
      <w:bookmarkStart w:id="16" w:name="_Toc12777"/>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课程网站要求</w:t>
      </w:r>
      <w:bookmarkEnd w:id="16"/>
    </w:p>
    <w:tbl>
      <w:tblPr>
        <w:tblStyle w:val="9"/>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2"/>
        <w:gridCol w:w="1980"/>
        <w:gridCol w:w="115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w:t>
            </w:r>
          </w:p>
        </w:tc>
        <w:tc>
          <w:tcPr>
            <w:tcW w:w="11557"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课程基本信息</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课程门户或首页上明确告知学习者关于课程的基本信息，包括但不限于：课程名称，课程类别，课程模式（混合式或完全在线课程），课程标签，课程图片（最佳尺寸220*120像素）或课程宣传片（可选）、课程概述、教学目标、教学内容、课程特点、适用对象、教学团队介绍、学习方法和要求、学时数、学分数（可选）、开放模式（同步、闯关或自由）、学习要求、考核方式、成绩构成和权重、教材与参考资料、最新教学周期、已开课周期、学习人数，学校校数、学习满意度等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9"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教师团队</w:t>
            </w:r>
          </w:p>
        </w:tc>
        <w:tc>
          <w:tcPr>
            <w:tcW w:w="11557" w:type="dxa"/>
          </w:tcPr>
          <w:p>
            <w:pPr>
              <w:widowControl/>
              <w:numPr>
                <w:ilvl w:val="0"/>
                <w:numId w:val="3"/>
              </w:numPr>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团队成员结构合理，分工明确，能合理安排教学服务，积极跟进课程维护，每门课程3-5人为宜，分核心教学主讲人，核心教学助教及其他课程支持人员；</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（2）展现课程团队简介，课程负责人和讲师的简介，可以增加有说服力的他人评价，要求展现形式简洁，配老师照片，将课程负责人重点展示。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5"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课程大纲</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明确列出课程结构表（以知识点为最小单元），并注明各单元教学目标、教学内容简介、授课方式、教学活动方式和成绩占比、学习方法、常见问题等。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3"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教学日历</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（1）教师可根据课程特点合理安排教学进度。</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kern w:val="0"/>
                <w:sz w:val="24"/>
                <w:szCs w:val="24"/>
              </w:rPr>
              <w:t>对教与学同步进行课程，以课程大纲和教学时间相结合的形式呈现教学日历，即教师组织线上课程教学的具体实施计划表，应注明每一段教学的起止日期，并明确告知讨论、作业或测评的截止提交时间、考试时间等关键节点。</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kern w:val="0"/>
                <w:sz w:val="24"/>
                <w:szCs w:val="24"/>
              </w:rPr>
              <w:t>对于教与学不同步的课程，可根据课程特点灵活采用闯关式或自由式的视频开放模式，教学日历中注明课程开放总时间、测评和考试截止时间等。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9"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授课视频</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（1）授课视频以知识点为基本单元，每段以15分钟内为宜。</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（2）如为学分课程，则每1个学分当量的课程学时应不少于16学时，每个学时教学视频长度不少于25分钟，或者整门课程的教学视频总长度不少于400分钟。</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（3）视频中可适当插入课间问答题，帮助学习及时巩固关键知识。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非视频教学资料</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（1）除授课视频外，依据教学需要，课程还可提供音频、演示文稿、纯文字材料、文献、案例等资料。</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（2）需重视材料内容页面呈现的美观度，并保证所有的链接均可正常打开。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课堂讨论</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（1）每个单元可适当安排一个或多个主题讨论。</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（2）教师团队需组织学生开展讨论，密切关注论坛情况，鼓励学生回答问题，及时答疑等，可采取发言计分、精华置顶并加分等方式鼓励学生发言，活跃论坛氛围，形成良好的互动学习社区。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6"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练习和测验</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（1）测验包括随堂练习和单元测验。</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kern w:val="0"/>
                <w:sz w:val="24"/>
                <w:szCs w:val="24"/>
              </w:rPr>
              <w:t>随堂练习可以穿插在教学视频间，方便学生即学即练，也便于老师随时考查学生对教学内容的理解和掌握程度，反思教学并及时改进，随堂练习一般不计入成绩；</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kern w:val="0"/>
                <w:sz w:val="24"/>
                <w:szCs w:val="24"/>
              </w:rPr>
              <w:t>单元测验一般安排在整个教学单元学习完成之后进行。</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（2）随堂练习和单元测验一般由客观题组成，题型可以是单一的单选题、多选题、判断题，或是上述多种题型的组合，课程平台支持自动判分。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作业</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（1）相对完整的教学单元后应配套作业，并设置提交起止时间；</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（2）作业的形式可以是主观题、客观题，或是两者的组合；</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（3）主观题可以采用教师批改、学生互评的方式进行判分，后者需要平台功能支持。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0"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考试</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（1）考试是检测学生课程阶段性或整体学习情况的正式试题，每门课一般设一次期末考试。</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（2）试题满足测试目标的要求，涵盖考查范围内的主要知识点，考查内容的题量和试题难度分布应与教学内容结构一致，具有一定的效度和信度，前后顺序必须合理，试题之间不能相互提示，不能相互矛盾。</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（3）考试题型可以包括客观题、主观题及两者的组合题，客观题由平台自动判分，主观题可以采用机房或课堂统一考试、教师批改、学生互评的方式进行判分，后者需要平台功能支持。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9"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资源库</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（1）资源库是教师团队上传在课程网站上的所有教学资源的集合。</w:t>
            </w:r>
          </w:p>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教师可以事先或随时将所有与课程相关的教学资源上传至课程资源库，包括按照教学单元分类存放的教学视频、音频、和其他教学资料，以及日常收集的案例库、素材库、试题库、专题讲座库、参考资料、学科专业知识检索系统、演示/虚拟/仿真实验实训(实习)系统、常用软件和工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5" w:hRule="atLeast"/>
        </w:trPr>
        <w:tc>
          <w:tcPr>
            <w:tcW w:w="124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98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教学数据</w:t>
            </w:r>
          </w:p>
        </w:tc>
        <w:tc>
          <w:tcPr>
            <w:tcW w:w="11557" w:type="dxa"/>
          </w:tcPr>
          <w:p>
            <w:pPr>
              <w:widowControl/>
              <w:spacing w:line="240" w:lineRule="atLeast"/>
              <w:ind w:left="127"/>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线教学平台提供大量、客观的学习数据，如知识点视频学习时长和反刍比、测评的完成时间和正确率、讨论的活跃度、上线学习时间等，教师团队可以充分利用教学数据进行分析和反思，及时发现学生的难点、兴趣点以及教学中的不足，迭代修改在线课程。</w:t>
            </w:r>
          </w:p>
        </w:tc>
      </w:tr>
    </w:tbl>
    <w:p/>
    <w:p>
      <w:pPr>
        <w:rPr>
          <w:rFonts w:ascii="仿宋_GB2312" w:eastAsia="仿宋_GB2312"/>
          <w:b/>
          <w:bCs/>
          <w:kern w:val="44"/>
          <w:sz w:val="28"/>
          <w:szCs w:val="28"/>
        </w:rPr>
      </w:pPr>
      <w:r>
        <w:rPr>
          <w:rFonts w:hint="eastAsia" w:ascii="仿宋_GB2312" w:eastAsia="仿宋_GB2312"/>
          <w:b/>
          <w:bCs/>
          <w:kern w:val="44"/>
          <w:sz w:val="28"/>
          <w:szCs w:val="28"/>
        </w:rPr>
        <w:t>三</w:t>
      </w:r>
      <w:r>
        <w:rPr>
          <w:rFonts w:ascii="仿宋_GB2312" w:eastAsia="仿宋_GB2312"/>
          <w:b/>
          <w:bCs/>
          <w:kern w:val="44"/>
          <w:sz w:val="28"/>
          <w:szCs w:val="28"/>
        </w:rPr>
        <w:t>、</w:t>
      </w:r>
      <w:r>
        <w:rPr>
          <w:rFonts w:hint="eastAsia" w:ascii="仿宋_GB2312" w:eastAsia="仿宋_GB2312"/>
          <w:b/>
          <w:bCs/>
          <w:kern w:val="44"/>
          <w:sz w:val="28"/>
          <w:szCs w:val="28"/>
        </w:rPr>
        <w:t>课程设计要求</w:t>
      </w:r>
    </w:p>
    <w:p>
      <w:pPr>
        <w:rPr>
          <w:rFonts w:ascii="仿宋_GB2312" w:hAnsi="等线 Light" w:eastAsia="仿宋_GB2312"/>
          <w:bCs/>
          <w:sz w:val="28"/>
          <w:szCs w:val="28"/>
        </w:rPr>
      </w:pPr>
      <w:r>
        <w:rPr>
          <w:rFonts w:hint="eastAsia" w:ascii="仿宋_GB2312" w:hAnsi="等线 Light" w:eastAsia="仿宋_GB2312"/>
          <w:bCs/>
          <w:sz w:val="28"/>
          <w:szCs w:val="28"/>
        </w:rPr>
        <w:t>（一）线上课程设计</w:t>
      </w:r>
    </w:p>
    <w:p>
      <w:pPr>
        <w:rPr>
          <w:rFonts w:ascii="仿宋_GB2312" w:hAnsi="等线 Light" w:eastAsia="仿宋_GB2312"/>
          <w:bCs/>
          <w:sz w:val="28"/>
          <w:szCs w:val="28"/>
        </w:rPr>
      </w:pPr>
      <w:r>
        <w:rPr>
          <w:rFonts w:ascii="仿宋_GB2312" w:hAnsi="等线 Light" w:eastAsia="仿宋_GB2312"/>
          <w:bCs/>
          <w:sz w:val="28"/>
          <w:szCs w:val="28"/>
        </w:rPr>
        <w:t>目标：</w:t>
      </w:r>
      <w:r>
        <w:rPr>
          <w:rFonts w:hint="eastAsia" w:ascii="仿宋_GB2312" w:hAnsi="等线 Light" w:eastAsia="仿宋_GB2312"/>
          <w:bCs/>
          <w:sz w:val="28"/>
          <w:szCs w:val="28"/>
        </w:rPr>
        <w:t>学生可采用进阶式教程的形式自主学习，</w:t>
      </w:r>
      <w:r>
        <w:rPr>
          <w:rFonts w:ascii="仿宋_GB2312" w:hAnsi="等线 Light" w:eastAsia="仿宋_GB2312"/>
          <w:bCs/>
          <w:sz w:val="28"/>
          <w:szCs w:val="28"/>
        </w:rPr>
        <w:t>提高学习质量。</w:t>
      </w:r>
    </w:p>
    <w:p>
      <w:pPr>
        <w:rPr>
          <w:rFonts w:ascii="仿宋_GB2312" w:hAnsi="等线 Light" w:eastAsia="仿宋_GB2312"/>
          <w:bCs/>
          <w:sz w:val="28"/>
          <w:szCs w:val="28"/>
        </w:rPr>
      </w:pPr>
      <w:r>
        <w:rPr>
          <w:rFonts w:ascii="仿宋_GB2312" w:hAnsi="等线 Light" w:eastAsia="仿宋_GB2312"/>
          <w:bCs/>
          <w:sz w:val="28"/>
          <w:szCs w:val="28"/>
        </w:rPr>
        <w:t>内容：在线进阶式教程</w:t>
      </w:r>
    </w:p>
    <w:tbl>
      <w:tblPr>
        <w:tblStyle w:val="9"/>
        <w:tblW w:w="149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0"/>
        <w:gridCol w:w="2010"/>
        <w:gridCol w:w="11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26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201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w:t>
            </w:r>
          </w:p>
        </w:tc>
        <w:tc>
          <w:tcPr>
            <w:tcW w:w="11729"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8" w:hRule="atLeast"/>
        </w:trPr>
        <w:tc>
          <w:tcPr>
            <w:tcW w:w="126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01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w:t>
            </w:r>
          </w:p>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目录</w:t>
            </w:r>
          </w:p>
        </w:tc>
        <w:tc>
          <w:tcPr>
            <w:tcW w:w="11729"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（1）章节结构：课程目录应根据课程教学计划， 以章、节为目录结构 ；可根据需要设置绪论；可根据需要设置小节知识点；</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（2）章节学习规则：原则上不开启跨章学习；</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（3）章节简介：所有章节都有简介。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8" w:hRule="atLeast"/>
        </w:trPr>
        <w:tc>
          <w:tcPr>
            <w:tcW w:w="126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01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课程视频</w:t>
            </w:r>
          </w:p>
        </w:tc>
        <w:tc>
          <w:tcPr>
            <w:tcW w:w="11729"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（1）按授课单元录制，每个视频针对1-2个知识点，要求结构完整；</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（2）每个知识点视频呈现5-15分钟为宜，最多不超过20分钟；</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（3）视频的片头和片尾的总长一般应控制在10秒以内；</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（4）时长超过5分钟的视频应插入弹题；</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（5）每个视频要设置弹题，弹题不计入成绩；</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（6）教学视频（不含素材）应不少于120分钟。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7" w:hRule="atLeast"/>
        </w:trPr>
        <w:tc>
          <w:tcPr>
            <w:tcW w:w="126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01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章测试</w:t>
            </w:r>
          </w:p>
        </w:tc>
        <w:tc>
          <w:tcPr>
            <w:tcW w:w="11729"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（1）题数：每章应5道以上；</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（2）题型：客观题优先；如课程要求有主观题，请注意以下事项：</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a.给出批阅要点和评分标准；</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b.课程教学团队负责批阅；如果教学团队不承诺批阅，为保证公正的教学质量，教学团队应培训选课学校专业老师；</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（3）答案解析：每道题都应有答案解析，便于学生自行查阅。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26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01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章讨论</w:t>
            </w:r>
          </w:p>
        </w:tc>
        <w:tc>
          <w:tcPr>
            <w:tcW w:w="11729"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（1）题数：每章应3道以上；</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（2）教学配合：教学团队应在教学过程中及时关注与回复。</w:t>
            </w:r>
          </w:p>
        </w:tc>
      </w:tr>
    </w:tbl>
    <w:p>
      <w:pPr>
        <w:rPr>
          <w:rFonts w:ascii="仿宋_GB2312" w:hAnsi="等线 Light" w:eastAsia="仿宋_GB2312"/>
          <w:bCs/>
          <w:sz w:val="28"/>
          <w:szCs w:val="28"/>
        </w:rPr>
      </w:pPr>
      <w:r>
        <w:rPr>
          <w:rFonts w:hint="eastAsia" w:ascii="仿宋_GB2312" w:hAnsi="等线 Light" w:eastAsia="仿宋_GB2312"/>
          <w:bCs/>
          <w:sz w:val="28"/>
          <w:szCs w:val="28"/>
        </w:rPr>
        <w:t>（二）线下见面课设计</w:t>
      </w:r>
    </w:p>
    <w:p>
      <w:pPr>
        <w:rPr>
          <w:rFonts w:ascii="仿宋_GB2312" w:hAnsi="等线 Light" w:eastAsia="仿宋_GB2312"/>
          <w:bCs/>
          <w:sz w:val="28"/>
          <w:szCs w:val="28"/>
        </w:rPr>
      </w:pPr>
      <w:r>
        <w:rPr>
          <w:rFonts w:ascii="仿宋_GB2312" w:hAnsi="等线 Light" w:eastAsia="仿宋_GB2312"/>
          <w:bCs/>
          <w:sz w:val="28"/>
          <w:szCs w:val="28"/>
        </w:rPr>
        <w:t>目标：</w:t>
      </w:r>
      <w:r>
        <w:rPr>
          <w:rFonts w:hint="eastAsia" w:ascii="仿宋_GB2312" w:hAnsi="等线 Light" w:eastAsia="仿宋_GB2312"/>
          <w:bCs/>
          <w:sz w:val="28"/>
          <w:szCs w:val="28"/>
        </w:rPr>
        <w:t>方便师生线下课堂教学、讨论互动</w:t>
      </w:r>
      <w:r>
        <w:rPr>
          <w:rFonts w:ascii="仿宋_GB2312" w:hAnsi="等线 Light" w:eastAsia="仿宋_GB2312"/>
          <w:bCs/>
          <w:sz w:val="28"/>
          <w:szCs w:val="28"/>
        </w:rPr>
        <w:t>。</w:t>
      </w:r>
    </w:p>
    <w:p>
      <w:pPr>
        <w:rPr>
          <w:rFonts w:ascii="仿宋_GB2312" w:hAnsi="等线 Light" w:eastAsia="仿宋_GB2312"/>
          <w:bCs/>
          <w:sz w:val="28"/>
          <w:szCs w:val="28"/>
        </w:rPr>
      </w:pPr>
      <w:r>
        <w:rPr>
          <w:rFonts w:ascii="仿宋_GB2312" w:hAnsi="等线 Light" w:eastAsia="仿宋_GB2312"/>
          <w:bCs/>
          <w:sz w:val="28"/>
          <w:szCs w:val="28"/>
        </w:rPr>
        <w:t>内容：线下见面课设计</w:t>
      </w:r>
    </w:p>
    <w:tbl>
      <w:tblPr>
        <w:tblStyle w:val="9"/>
        <w:tblpPr w:leftFromText="180" w:rightFromText="180" w:vertAnchor="text" w:horzAnchor="page" w:tblpX="1579" w:tblpY="2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218"/>
        <w:gridCol w:w="1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建设上线标准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学时安排</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有条件开展直播教学的学校，</w:t>
            </w:r>
            <w:r>
              <w:rPr>
                <w:rFonts w:hint="eastAsia" w:ascii="仿宋_GB2312" w:hAnsi="仿宋_GB2312" w:eastAsia="仿宋_GB2312" w:cs="仿宋_GB2312"/>
                <w:kern w:val="0"/>
                <w:sz w:val="24"/>
                <w:szCs w:val="24"/>
              </w:rPr>
              <w:t>每次见面课建议2学时，其中直播课建议4次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类型</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（1）讨论课：主题一致，各选课学校配备老师自行组织学生讨论，教学团队需在课前与各选课学校老师沟通教学目的、组织学生方式、讨论内容等；</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（2）实践课：主题一致，各选课学校配备老师自行组织学生实践，教学团队需在课前与各选课学校老师沟通教学目的、组织学生方式、讨论内容等；</w:t>
            </w:r>
          </w:p>
          <w:p>
            <w:pPr>
              <w:widowControl/>
              <w:spacing w:line="240" w:lineRule="atLeast"/>
              <w:jc w:val="left"/>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（3）直播课：条件成熟的学校可开展直播互动教学。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授课模式</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（1）要求：翻转课堂，让学生走上讲台，避免一言堂。</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（2）模式：</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a.主题研讨课：主题讨论互动，跨校学生碰撞思维。面授时间安排建议：老师主讲（</w:t>
            </w:r>
            <w:r>
              <w:rPr>
                <w:rFonts w:hint="eastAsia" w:ascii="仿宋_GB2312" w:hAnsi="仿宋_GB2312" w:eastAsia="仿宋_GB2312" w:cs="仿宋_GB2312"/>
                <w:b/>
                <w:kern w:val="0"/>
                <w:sz w:val="24"/>
                <w:szCs w:val="24"/>
              </w:rPr>
              <w:t>20分钟）+让学生上台发表看法，互动（50分钟）+老师总结（20分钟）；</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b.主题汇报课：提前准备，课中让学生走上讲台，汇报学习结果；</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c.老师访谈课：多个主讲老师就几个热点主题进行现场研讨，共同授课；</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d.集中答疑课：老师针对线上汇总问题、现场问题、跨校学生问题进行集中答疑。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考核说明</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（1）总分：应明确每次见面课的分数构成，包括出勤分和表现分；每次见面课总分不能相差很远。</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（2）得分参考点：</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a.出勤分根据不同参与方式设置分数等级，如在教室上课、网上看直播、请假并看回放、直接看回放等；</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b.表现分可以依据组长称职、现场举手互动、线上提问、课前准备情况（是否交作业）等表现情况给分。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见面课设计</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（1）教程设计内容：每次见面课应明确本次面授内容、教学目的、教师要点说明、学生组织说明、评价与成绩说明、资源配套说明；</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（2）每次见面课安排与学生互动应至少45分钟；</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（3）应明确每次见面课前需要达到的在线教程学习的章节进度；</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（4）应明确每次见面课主讲老师和助教；</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（5）线下需要提交《见面课教程PPT》。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总助教职责</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课前：提醒选课学校学生准备；</w:t>
            </w:r>
          </w:p>
          <w:p>
            <w:pPr>
              <w:widowControl/>
              <w:numPr>
                <w:ilvl w:val="0"/>
                <w:numId w:val="4"/>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课中：配合授课过程；</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（3）课后：督促选课学校成绩录入。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22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应急预案</w:t>
            </w:r>
          </w:p>
        </w:tc>
        <w:tc>
          <w:tcPr>
            <w:tcW w:w="1104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（1）应准备符合内容的见面课视频，防止由于教室未开启、老师未到场等发生的教学事故。</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（2）备用视频要求：</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a.对于新课程，应准备2学时课程扩展内容的讲课视频；</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b.对于运行过的课程，可准备之前见面课视频。</w:t>
            </w:r>
          </w:p>
        </w:tc>
      </w:tr>
    </w:tbl>
    <w:p>
      <w:pPr>
        <w:rPr>
          <w:rFonts w:hint="eastAsia" w:ascii="仿宋_GB2312" w:eastAsia="仿宋_GB2312"/>
          <w:b/>
          <w:sz w:val="28"/>
          <w:szCs w:val="28"/>
        </w:rPr>
      </w:pPr>
    </w:p>
    <w:p>
      <w:pPr>
        <w:rPr>
          <w:rFonts w:ascii="仿宋" w:hAnsi="仿宋" w:eastAsia="仿宋" w:cs="仿宋"/>
          <w:kern w:val="0"/>
          <w:sz w:val="28"/>
          <w:szCs w:val="28"/>
        </w:rPr>
      </w:pPr>
      <w:r>
        <w:rPr>
          <w:rFonts w:hint="eastAsia" w:ascii="仿宋_GB2312" w:eastAsia="仿宋_GB2312"/>
          <w:b/>
          <w:sz w:val="28"/>
          <w:szCs w:val="28"/>
        </w:rPr>
        <w:t>（三）</w:t>
      </w:r>
      <w:r>
        <w:rPr>
          <w:rFonts w:hint="eastAsia" w:ascii="仿宋" w:hAnsi="仿宋" w:eastAsia="仿宋" w:cs="仿宋"/>
          <w:kern w:val="0"/>
          <w:sz w:val="28"/>
          <w:szCs w:val="28"/>
        </w:rPr>
        <w:t>课程考核标准设计</w:t>
      </w:r>
    </w:p>
    <w:p>
      <w:pPr>
        <w:rPr>
          <w:rFonts w:ascii="仿宋_GB2312" w:hAnsi="等线 Light" w:eastAsia="仿宋_GB2312"/>
          <w:bCs/>
          <w:sz w:val="28"/>
          <w:szCs w:val="28"/>
        </w:rPr>
      </w:pPr>
      <w:r>
        <w:rPr>
          <w:rFonts w:ascii="仿宋_GB2312" w:hAnsi="等线 Light" w:eastAsia="仿宋_GB2312"/>
          <w:bCs/>
          <w:sz w:val="28"/>
          <w:szCs w:val="28"/>
        </w:rPr>
        <w:t>目标：</w:t>
      </w:r>
      <w:r>
        <w:rPr>
          <w:rFonts w:hint="eastAsia" w:ascii="仿宋_GB2312" w:hAnsi="等线 Light" w:eastAsia="仿宋_GB2312"/>
          <w:bCs/>
          <w:sz w:val="28"/>
          <w:szCs w:val="28"/>
        </w:rPr>
        <w:t>学习从结果性考核转向过程性考核</w:t>
      </w:r>
      <w:r>
        <w:rPr>
          <w:rFonts w:ascii="仿宋_GB2312" w:hAnsi="等线 Light" w:eastAsia="仿宋_GB2312"/>
          <w:bCs/>
          <w:sz w:val="28"/>
          <w:szCs w:val="28"/>
        </w:rPr>
        <w:t>。</w:t>
      </w:r>
    </w:p>
    <w:p>
      <w:pPr>
        <w:rPr>
          <w:rFonts w:ascii="仿宋_GB2312" w:eastAsia="仿宋_GB2312"/>
          <w:b/>
          <w:sz w:val="28"/>
          <w:szCs w:val="28"/>
        </w:rPr>
      </w:pPr>
      <w:r>
        <w:rPr>
          <w:rFonts w:ascii="仿宋_GB2312" w:hAnsi="等线 Light" w:eastAsia="仿宋_GB2312"/>
          <w:bCs/>
          <w:sz w:val="28"/>
          <w:szCs w:val="28"/>
        </w:rPr>
        <w:t>内容：课程考核方式</w:t>
      </w:r>
    </w:p>
    <w:tbl>
      <w:tblPr>
        <w:tblStyle w:val="9"/>
        <w:tblpPr w:leftFromText="180" w:rightFromText="180" w:vertAnchor="text" w:horzAnchor="page" w:tblpX="1564" w:tblpY="2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450"/>
        <w:gridCol w:w="1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w:t>
            </w:r>
          </w:p>
        </w:tc>
        <w:tc>
          <w:tcPr>
            <w:tcW w:w="112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建设上线标准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成绩组成构成</w:t>
            </w:r>
          </w:p>
        </w:tc>
        <w:tc>
          <w:tcPr>
            <w:tcW w:w="112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（1）成绩小项：在线学习成绩、见面课成绩和期末考试成绩组成。每小项成绩占比不能超过50%。</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（2）论坛讨论成绩：</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a.如果设置论坛讨论成绩，可选择计入100分内，即论坛讨论是必修的，</w:t>
            </w:r>
            <w:r>
              <w:rPr>
                <w:rFonts w:hint="eastAsia" w:ascii="仿宋_GB2312" w:hAnsi="仿宋_GB2312" w:eastAsia="仿宋_GB2312" w:cs="仿宋_GB2312"/>
                <w:b/>
                <w:kern w:val="0"/>
                <w:sz w:val="24"/>
                <w:szCs w:val="24"/>
              </w:rPr>
              <w:t>论坛讨论成绩应不超过10分；</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课程成绩100%=在线学习成绩占比+见面课成绩占比+期末考试成绩占比+论坛讨论成绩占比；</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b.如论坛讨论成绩不计入100分内，则论坛讨论不是必修的，算加分项；</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课程成绩100%=在线学习成绩占比+见面课成绩占比+期末考试成绩占比</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（3）学生总成绩不超过100分。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在线学习成绩</w:t>
            </w:r>
          </w:p>
        </w:tc>
        <w:tc>
          <w:tcPr>
            <w:tcW w:w="112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根据课程总学习进度和章测试成绩决定。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见面课成绩</w:t>
            </w:r>
          </w:p>
        </w:tc>
        <w:tc>
          <w:tcPr>
            <w:tcW w:w="112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（1）仅混合式课程包括此项得分。</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（2）依据出勤分和现场表现分决定，每次见面课起分点由开课老师设置。</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（3）如果是直播课：</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a.在教室上课计出勤分，现场表现如果现场互动积极加分； </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b.在网上看直播超过80%时长算出勤，线上问问题可酌情加现场表现分；</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c.请假并看回放计出勤分，不计现场表现分；</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d.直接看回放是否算出勤由老师决定，但不计现场表现分。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期末考核成绩</w:t>
            </w:r>
          </w:p>
        </w:tc>
        <w:tc>
          <w:tcPr>
            <w:tcW w:w="112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按照课程要求的考试方式进行考试。</w:t>
            </w:r>
          </w:p>
        </w:tc>
      </w:tr>
    </w:tbl>
    <w:p>
      <w:pPr>
        <w:rPr>
          <w:rFonts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（四）课程推广</w:t>
      </w:r>
    </w:p>
    <w:p>
      <w:pPr>
        <w:rPr>
          <w:rFonts w:ascii="仿宋_GB2312" w:eastAsia="仿宋_GB2312"/>
          <w:sz w:val="28"/>
          <w:szCs w:val="28"/>
        </w:rPr>
      </w:pPr>
      <w:r>
        <w:rPr>
          <w:rFonts w:ascii="仿宋_GB2312" w:eastAsia="仿宋_GB2312"/>
          <w:sz w:val="28"/>
          <w:szCs w:val="28"/>
        </w:rPr>
        <w:t>目标：</w:t>
      </w:r>
      <w:r>
        <w:rPr>
          <w:rFonts w:hint="eastAsia" w:ascii="仿宋_GB2312" w:eastAsia="仿宋_GB2312"/>
          <w:sz w:val="28"/>
          <w:szCs w:val="28"/>
        </w:rPr>
        <w:t>让选课学校的教师与学生了解课程的基本信息。</w:t>
      </w:r>
    </w:p>
    <w:p>
      <w:pPr>
        <w:rPr>
          <w:rFonts w:ascii="仿宋_GB2312" w:eastAsia="仿宋_GB2312"/>
          <w:sz w:val="28"/>
          <w:szCs w:val="28"/>
        </w:rPr>
      </w:pPr>
      <w:r>
        <w:rPr>
          <w:rFonts w:ascii="仿宋_GB2312" w:eastAsia="仿宋_GB2312"/>
          <w:sz w:val="28"/>
          <w:szCs w:val="28"/>
        </w:rPr>
        <w:t>内容：课程</w:t>
      </w:r>
      <w:r>
        <w:rPr>
          <w:rFonts w:hint="eastAsia" w:ascii="仿宋_GB2312" w:eastAsia="仿宋_GB2312"/>
          <w:sz w:val="28"/>
          <w:szCs w:val="28"/>
        </w:rPr>
        <w:t xml:space="preserve">选课推广           </w:t>
      </w:r>
    </w:p>
    <w:tbl>
      <w:tblPr>
        <w:tblStyle w:val="9"/>
        <w:tblW w:w="0" w:type="auto"/>
        <w:tblInd w:w="-2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54"/>
        <w:gridCol w:w="1572"/>
        <w:gridCol w:w="10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trPr>
        <w:tc>
          <w:tcPr>
            <w:tcW w:w="2654"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57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w:t>
            </w:r>
          </w:p>
        </w:tc>
        <w:tc>
          <w:tcPr>
            <w:tcW w:w="1001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trPr>
        <w:tc>
          <w:tcPr>
            <w:tcW w:w="2654"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57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w:t>
            </w:r>
          </w:p>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片花</w:t>
            </w:r>
          </w:p>
        </w:tc>
        <w:tc>
          <w:tcPr>
            <w:tcW w:w="10012" w:type="dxa"/>
          </w:tcPr>
          <w:p>
            <w:pPr>
              <w:widowControl/>
              <w:numPr>
                <w:ilvl w:val="0"/>
                <w:numId w:val="5"/>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课程特色的精彩片花或宣传片，原则上3分钟以内； </w:t>
            </w:r>
          </w:p>
          <w:p>
            <w:pPr>
              <w:widowControl/>
              <w:numPr>
                <w:ilvl w:val="0"/>
                <w:numId w:val="5"/>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应包含的元素：教学目标、内容简介、团队介绍、学习方法、考核方式、入门知识要求等。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7" w:hRule="atLeast"/>
        </w:trPr>
        <w:tc>
          <w:tcPr>
            <w:tcW w:w="2654" w:type="dxa"/>
            <w:vAlign w:val="center"/>
          </w:tcPr>
          <w:p>
            <w:pPr>
              <w:widowControl/>
              <w:spacing w:line="240" w:lineRule="atLeast"/>
              <w:jc w:val="center"/>
              <w:rPr>
                <w:rFonts w:hint="eastAsia" w:ascii="仿宋_GB2312" w:hAnsi="仿宋_GB2312" w:eastAsia="仿宋_GB2312" w:cs="仿宋_GB2312"/>
                <w:kern w:val="0"/>
                <w:sz w:val="24"/>
                <w:szCs w:val="24"/>
              </w:rPr>
            </w:pPr>
          </w:p>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572"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w:t>
            </w:r>
          </w:p>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网站</w:t>
            </w:r>
          </w:p>
        </w:tc>
        <w:tc>
          <w:tcPr>
            <w:tcW w:w="10012"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应包含的内容有：教师信息、课程介绍、教学计划、最新招生计划、教学评价、课程开放资源等。</w:t>
            </w:r>
          </w:p>
        </w:tc>
      </w:tr>
    </w:tbl>
    <w:p>
      <w:pPr>
        <w:pStyle w:val="2"/>
        <w:spacing w:before="156" w:after="156"/>
        <w:rPr>
          <w:rFonts w:ascii="仿宋_GB2312" w:eastAsia="仿宋_GB2312"/>
          <w:sz w:val="28"/>
          <w:szCs w:val="28"/>
        </w:rPr>
      </w:pPr>
      <w:bookmarkStart w:id="17" w:name="_Toc17095"/>
      <w:r>
        <w:rPr>
          <w:rFonts w:hint="eastAsia" w:ascii="仿宋_GB2312" w:eastAsia="仿宋_GB2312"/>
          <w:sz w:val="28"/>
          <w:szCs w:val="28"/>
        </w:rPr>
        <w:t>四、教学视频录制要求</w:t>
      </w:r>
      <w:bookmarkEnd w:id="17"/>
    </w:p>
    <w:tbl>
      <w:tblPr>
        <w:tblStyle w:val="9"/>
        <w:tblW w:w="0" w:type="auto"/>
        <w:tblInd w:w="-2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28"/>
        <w:gridCol w:w="1616"/>
        <w:gridCol w:w="10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 w:hRule="atLeast"/>
        </w:trPr>
        <w:tc>
          <w:tcPr>
            <w:tcW w:w="2728"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616"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w:t>
            </w:r>
          </w:p>
        </w:tc>
        <w:tc>
          <w:tcPr>
            <w:tcW w:w="10294"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建设上线标准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5" w:hRule="atLeast"/>
        </w:trPr>
        <w:tc>
          <w:tcPr>
            <w:tcW w:w="2728"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616"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视频画面</w:t>
            </w:r>
          </w:p>
        </w:tc>
        <w:tc>
          <w:tcPr>
            <w:tcW w:w="10294"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（1）课程以知识点为中心划分为最小单元，每小节时长一般不超过15分钟。在视频的后期制作中，应编辑删除与教学无关的内容。</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（2）屏幕图像的构图合理，画面主体突出。人像及肢体动作以及配合讲授选用的板书、画板、教具实物、模型和实验设备等均不能超出镜头所及范围。 </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（3）演播室使用的背景采用彩色喷绘或电脑虚拟、实景等背景。背景的颜色、图案不易过多，应保持静态，画面应简洁、明快，有利于营造课堂气氛。 </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（4）摄像镜头应保持与主讲教师目光平视的角度。主讲教师不应较长时间仰视或俯视。 </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（5）使用资料、图片、外景实拍、实验和表演等形象化教学手段，应符合教学内容要求，与讲授内容联系紧密，手段选用恰当。 </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（6）选用影视作品或自拍素材，应注明素材来源。影视作品或自拍素材中涉及人物访谈内容时，除应加注人物介绍外，还应采用滚动式同声字幕。</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（7）选用的资料、图片等素材画面应清楚，对于历史资料、图片应进行再加工。选用的资料、图片等素材应注明素材来源及原始信息（如字画的作品、生卒年月，影视片断的作品名称、创作年代等信息）。 </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（8）动画的设计与使用，要与课程内容相贴切，能够发挥良好的教学效果；动画须流畅、合理、图像清晰，具有较强的可视性。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9" w:hRule="atLeast"/>
        </w:trPr>
        <w:tc>
          <w:tcPr>
            <w:tcW w:w="2728"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616"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视频技术要求</w:t>
            </w:r>
          </w:p>
        </w:tc>
        <w:tc>
          <w:tcPr>
            <w:tcW w:w="10294" w:type="dxa"/>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（1）录制场地应尽可能选择专业录影棚或者与课程主题相关的场地。录制现场需要光线充足、环境安静、整洁，避免在镜头中出现有广告嫌疑或与课程无关的标识等内容。</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（2）录制方式及设备</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a.拍摄方式：根据课程内容，采用多机位（1-3机位）拍摄，机位设置应满足完整记录课堂全部教学活动的要求。</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b.录像设备：摄像机要求尽可能采用不低于1920×1080分辨率的专业级数字设备，或者在光线充足的情况下不低于1280×720分辨率的普通设备。</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c.录音设备：使用专业级录音设备包括但不仅限于小蜜蜂、定向录音话筒、吊MIC等以保证整体录音质量。</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（3）视频压缩格式及技术参数</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视频压缩采用H.264/AVC (MPEG-4 Part10)编码、使用二次编码、不包含字幕的MP4格式；视频拍摄时用1920×1080的分辨率以及16:9的比例拍摄，成片输出1920×1080以及1280×720两种分辨率；1280×720动态码流的最高码率不高于4M，最低码率不得低于1.5M。</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（4）音频压缩格式及技术参数</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音频压缩采用AAC(MPEG4 Part3)格式；采样率48KHz；音频码流率128Kbps (恒定)；必须是双声道，必须做混音处理。</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（5）视频采用MP4封装。</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（6）外挂唱词文件为独立的SRT格式的唱词文件。</w:t>
            </w:r>
          </w:p>
        </w:tc>
      </w:tr>
    </w:tbl>
    <w:p>
      <w:pPr>
        <w:ind w:firstLine="480" w:firstLineChars="200"/>
        <w:rPr>
          <w:rFonts w:hint="eastAsia" w:ascii="仿宋_GB2312" w:hAnsi="仿宋_GB2312" w:eastAsia="仿宋_GB2312" w:cs="仿宋_GB2312"/>
          <w:sz w:val="24"/>
          <w:szCs w:val="24"/>
        </w:rPr>
      </w:pPr>
      <w:bookmarkStart w:id="18" w:name="_GoBack"/>
      <w:bookmarkEnd w:id="18"/>
    </w:p>
    <w:sectPr>
      <w:footerReference r:id="rId3" w:type="default"/>
      <w:pgSz w:w="16838" w:h="11906" w:orient="landscape"/>
      <w:pgMar w:top="964" w:right="964" w:bottom="964" w:left="96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00000287"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BDF5E"/>
    <w:multiLevelType w:val="singleLevel"/>
    <w:tmpl w:val="AD8BDF5E"/>
    <w:lvl w:ilvl="0" w:tentative="0">
      <w:start w:val="1"/>
      <w:numFmt w:val="decimal"/>
      <w:suff w:val="nothing"/>
      <w:lvlText w:val="（%1）"/>
      <w:lvlJc w:val="left"/>
    </w:lvl>
  </w:abstractNum>
  <w:abstractNum w:abstractNumId="1">
    <w:nsid w:val="0F4F933F"/>
    <w:multiLevelType w:val="singleLevel"/>
    <w:tmpl w:val="0F4F933F"/>
    <w:lvl w:ilvl="0" w:tentative="0">
      <w:start w:val="1"/>
      <w:numFmt w:val="decimal"/>
      <w:suff w:val="nothing"/>
      <w:lvlText w:val="（%1）"/>
      <w:lvlJc w:val="left"/>
    </w:lvl>
  </w:abstractNum>
  <w:abstractNum w:abstractNumId="2">
    <w:nsid w:val="30394552"/>
    <w:multiLevelType w:val="multilevel"/>
    <w:tmpl w:val="30394552"/>
    <w:lvl w:ilvl="0" w:tentative="0">
      <w:start w:val="1"/>
      <w:numFmt w:val="decimalEnclosedFullstop"/>
      <w:lvlText w:val="%1"/>
      <w:lvlJc w:val="left"/>
      <w:pPr>
        <w:ind w:left="360" w:hanging="360"/>
      </w:pPr>
      <w:rPr>
        <w:rFonts w:hint="default" w:ascii="仿宋_GB2312" w:eastAsia="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CE788F"/>
    <w:multiLevelType w:val="singleLevel"/>
    <w:tmpl w:val="5BCE788F"/>
    <w:lvl w:ilvl="0" w:tentative="0">
      <w:start w:val="1"/>
      <w:numFmt w:val="decimal"/>
      <w:suff w:val="nothing"/>
      <w:lvlText w:val="（%1）"/>
      <w:lvlJc w:val="left"/>
    </w:lvl>
  </w:abstractNum>
  <w:abstractNum w:abstractNumId="4">
    <w:nsid w:val="5BCE8DB9"/>
    <w:multiLevelType w:val="singleLevel"/>
    <w:tmpl w:val="5BCE8DB9"/>
    <w:lvl w:ilvl="0" w:tentative="0">
      <w:start w:val="1"/>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3"/>
    <w:rsid w:val="00092DE0"/>
    <w:rsid w:val="001D2EB0"/>
    <w:rsid w:val="001F638B"/>
    <w:rsid w:val="00201452"/>
    <w:rsid w:val="0021290D"/>
    <w:rsid w:val="0023620F"/>
    <w:rsid w:val="002B27E5"/>
    <w:rsid w:val="0035607D"/>
    <w:rsid w:val="00356FA2"/>
    <w:rsid w:val="0039406F"/>
    <w:rsid w:val="003B01CD"/>
    <w:rsid w:val="003D0571"/>
    <w:rsid w:val="0043632B"/>
    <w:rsid w:val="00463111"/>
    <w:rsid w:val="004C1B88"/>
    <w:rsid w:val="004D34C2"/>
    <w:rsid w:val="00534047"/>
    <w:rsid w:val="00550E6D"/>
    <w:rsid w:val="005C5517"/>
    <w:rsid w:val="005D06DD"/>
    <w:rsid w:val="006473DA"/>
    <w:rsid w:val="00656174"/>
    <w:rsid w:val="00690A3F"/>
    <w:rsid w:val="0069372A"/>
    <w:rsid w:val="00700C15"/>
    <w:rsid w:val="00707CD8"/>
    <w:rsid w:val="007467F2"/>
    <w:rsid w:val="00755012"/>
    <w:rsid w:val="007F2AF7"/>
    <w:rsid w:val="007F7577"/>
    <w:rsid w:val="0086451A"/>
    <w:rsid w:val="008924DF"/>
    <w:rsid w:val="00924532"/>
    <w:rsid w:val="009437E3"/>
    <w:rsid w:val="0096291F"/>
    <w:rsid w:val="00973FEF"/>
    <w:rsid w:val="009A688C"/>
    <w:rsid w:val="00A03F81"/>
    <w:rsid w:val="00B27C10"/>
    <w:rsid w:val="00B601D4"/>
    <w:rsid w:val="00B75F22"/>
    <w:rsid w:val="00B7695D"/>
    <w:rsid w:val="00BB51B6"/>
    <w:rsid w:val="00C05194"/>
    <w:rsid w:val="00C42F7E"/>
    <w:rsid w:val="00C83447"/>
    <w:rsid w:val="00C9318F"/>
    <w:rsid w:val="00CF0872"/>
    <w:rsid w:val="00CF5F00"/>
    <w:rsid w:val="00DB2E19"/>
    <w:rsid w:val="00DD7571"/>
    <w:rsid w:val="00DE353A"/>
    <w:rsid w:val="00DF68DE"/>
    <w:rsid w:val="00F56751"/>
    <w:rsid w:val="00FD0027"/>
    <w:rsid w:val="0242443A"/>
    <w:rsid w:val="04413BB1"/>
    <w:rsid w:val="07512A7D"/>
    <w:rsid w:val="27C86AF2"/>
    <w:rsid w:val="305A2A45"/>
    <w:rsid w:val="3B14532E"/>
    <w:rsid w:val="3FB825FF"/>
    <w:rsid w:val="57ED595F"/>
    <w:rsid w:val="58936FCB"/>
    <w:rsid w:val="5C8278D3"/>
    <w:rsid w:val="6B470845"/>
    <w:rsid w:val="75053D76"/>
    <w:rsid w:val="77644F4C"/>
    <w:rsid w:val="7F5C7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asciiTheme="minorAscii" w:hAnsiTheme="minorAscii"/>
      <w:b/>
      <w:bCs/>
      <w:kern w:val="44"/>
      <w:sz w:val="30"/>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uiPriority w:val="39"/>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Hyperlink"/>
    <w:basedOn w:val="10"/>
    <w:semiHidden/>
    <w:unhideWhenUsed/>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character" w:customStyle="1" w:styleId="15">
    <w:name w:val="wbb11"/>
    <w:qFormat/>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21424</Words>
  <Characters>21740</Characters>
  <Lines>97</Lines>
  <Paragraphs>27</Paragraphs>
  <TotalTime>28</TotalTime>
  <ScaleCrop>false</ScaleCrop>
  <LinksUpToDate>false</LinksUpToDate>
  <CharactersWithSpaces>21858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2017-06-20T09:37:00Z</dcterms:created>
  <dc:creator>րଡ଼</dc:creator>
  <cp:lastModifiedBy>1111111</cp:lastModifiedBy>
  <cp:lastPrinted>2017-06-23T03:44:00Z</cp:lastPrinted>
  <dcterms:modified xsi:type="dcterms:W3CDTF">2021-01-04T02:43:21Z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