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360" w:lineRule="atLeast"/>
        <w:jc w:val="right"/>
        <w:rPr>
          <w:rFonts w:ascii="Arial" w:hAnsi="Arial" w:cs="Arial"/>
          <w:color w:val="515151"/>
        </w:rPr>
      </w:pPr>
      <w:r>
        <w:rPr>
          <w:rFonts w:hint="eastAsia" w:ascii="仿宋_GB2312" w:hAnsi="Arial" w:eastAsia="仿宋_GB2312" w:cs="Arial"/>
          <w:color w:val="515151"/>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仿宋_GB2312" w:hAnsi="Arial" w:eastAsia="仿宋_GB2312" w:cs="Arial"/>
          <w:color w:val="515151"/>
          <w:sz w:val="32"/>
          <w:szCs w:val="32"/>
          <w:lang w:eastAsia="zh-CN"/>
        </w:rPr>
        <w:instrText xml:space="preserve">ADDIN CNKISM.UserStyle</w:instrText>
      </w:r>
      <w:r>
        <w:rPr>
          <w:rFonts w:hint="eastAsia" w:ascii="仿宋_GB2312" w:hAnsi="Arial" w:eastAsia="仿宋_GB2312" w:cs="Arial"/>
          <w:color w:val="515151"/>
          <w:sz w:val="32"/>
          <w:szCs w:val="32"/>
        </w:rPr>
        <w:fldChar w:fldCharType="separate"/>
      </w:r>
      <w:r>
        <w:rPr>
          <w:rFonts w:hint="eastAsia" w:ascii="仿宋_GB2312" w:hAnsi="Arial" w:eastAsia="仿宋_GB2312" w:cs="Arial"/>
          <w:color w:val="515151"/>
          <w:sz w:val="32"/>
          <w:szCs w:val="32"/>
        </w:rPr>
        <w:fldChar w:fldCharType="end"/>
      </w:r>
      <w:r>
        <w:rPr>
          <w:rFonts w:hint="eastAsia" w:ascii="仿宋_GB2312" w:hAnsi="Arial" w:eastAsia="仿宋_GB2312" w:cs="Arial"/>
          <w:color w:val="515151"/>
          <w:sz w:val="32"/>
          <w:szCs w:val="32"/>
        </w:rPr>
        <w:t>中大南方〔2015〕211号</w:t>
      </w:r>
    </w:p>
    <w:p>
      <w:pPr>
        <w:pStyle w:val="2"/>
        <w:spacing w:before="0" w:beforeAutospacing="0" w:after="0" w:afterAutospacing="0" w:line="360" w:lineRule="atLeast"/>
        <w:jc w:val="right"/>
        <w:rPr>
          <w:rFonts w:ascii="Arial" w:hAnsi="Arial" w:cs="Arial"/>
          <w:color w:val="515151"/>
        </w:rPr>
      </w:pPr>
      <w:r>
        <w:rPr>
          <w:rFonts w:hint="eastAsia" w:ascii="仿宋_GB2312" w:hAnsi="Arial" w:eastAsia="仿宋_GB2312" w:cs="Arial"/>
          <w:color w:val="515151"/>
          <w:sz w:val="32"/>
          <w:szCs w:val="32"/>
        </w:rPr>
        <w:t> </w:t>
      </w:r>
    </w:p>
    <w:p>
      <w:pPr>
        <w:pStyle w:val="2"/>
        <w:spacing w:before="0" w:beforeAutospacing="0" w:after="0" w:afterAutospacing="0" w:line="360" w:lineRule="atLeast"/>
        <w:jc w:val="center"/>
        <w:rPr>
          <w:rFonts w:ascii="Arial" w:hAnsi="Arial" w:cs="Arial"/>
          <w:color w:val="515151"/>
        </w:rPr>
      </w:pPr>
      <w:r>
        <w:rPr>
          <w:rStyle w:val="5"/>
          <w:rFonts w:hint="eastAsia" w:cs="Arial"/>
          <w:color w:val="515151"/>
          <w:sz w:val="44"/>
          <w:szCs w:val="44"/>
        </w:rPr>
        <w:t>关于印发《中山大学南方学院</w:t>
      </w:r>
      <w:r>
        <w:rPr>
          <w:rStyle w:val="5"/>
          <w:rFonts w:hint="eastAsia" w:cs="Arial"/>
          <w:color w:val="000000"/>
          <w:sz w:val="44"/>
          <w:szCs w:val="44"/>
        </w:rPr>
        <w:t>学分制本科生学籍管理规定</w:t>
      </w:r>
      <w:r>
        <w:rPr>
          <w:rStyle w:val="5"/>
          <w:rFonts w:hint="eastAsia" w:cs="Arial"/>
          <w:color w:val="515151"/>
          <w:sz w:val="44"/>
          <w:szCs w:val="44"/>
        </w:rPr>
        <w:t>》等学分制配套制度的通知</w:t>
      </w:r>
    </w:p>
    <w:p>
      <w:pPr>
        <w:pStyle w:val="2"/>
        <w:spacing w:before="0" w:beforeAutospacing="0" w:after="0" w:afterAutospacing="0" w:line="360" w:lineRule="atLeast"/>
        <w:rPr>
          <w:rFonts w:ascii="Arial" w:hAnsi="Arial" w:cs="Arial"/>
          <w:color w:val="515151"/>
        </w:rPr>
      </w:pPr>
      <w:r>
        <w:rPr>
          <w:rFonts w:hint="eastAsia" w:ascii="仿宋_GB2312" w:hAnsi="Arial" w:eastAsia="仿宋_GB2312" w:cs="Arial"/>
          <w:color w:val="000000"/>
          <w:sz w:val="32"/>
          <w:szCs w:val="32"/>
          <w:shd w:val="clear" w:color="auto" w:fill="FFFFFF"/>
        </w:rPr>
        <w:t> </w:t>
      </w:r>
    </w:p>
    <w:p>
      <w:pPr>
        <w:pStyle w:val="2"/>
        <w:spacing w:before="0" w:beforeAutospacing="0" w:after="0" w:afterAutospacing="0" w:line="360" w:lineRule="atLeast"/>
        <w:rPr>
          <w:rFonts w:hint="eastAsia" w:ascii="仿宋_GB2312" w:hAnsi="Arial" w:eastAsia="仿宋_GB2312" w:cs="Arial"/>
          <w:color w:val="515151"/>
          <w:sz w:val="32"/>
          <w:szCs w:val="32"/>
        </w:rPr>
      </w:pPr>
      <w:bookmarkStart w:id="0" w:name="_GoBack"/>
      <w:bookmarkEnd w:id="0"/>
      <w:r>
        <w:rPr>
          <w:rFonts w:hint="eastAsia" w:ascii="仿宋_GB2312" w:hAnsi="Arial" w:eastAsia="仿宋_GB2312" w:cs="Arial"/>
          <w:color w:val="515151"/>
          <w:sz w:val="32"/>
          <w:szCs w:val="32"/>
        </w:rPr>
        <w:t>各教学单位，各室、部、中心、馆：</w:t>
      </w:r>
    </w:p>
    <w:p>
      <w:pPr>
        <w:pStyle w:val="2"/>
        <w:spacing w:before="0" w:beforeAutospacing="0" w:after="0" w:afterAutospacing="0" w:line="360" w:lineRule="atLeast"/>
        <w:ind w:firstLine="645"/>
        <w:rPr>
          <w:rFonts w:ascii="Arial" w:hAnsi="Arial" w:cs="Arial"/>
          <w:color w:val="515151"/>
        </w:rPr>
      </w:pPr>
      <w:r>
        <w:rPr>
          <w:rFonts w:hint="eastAsia" w:ascii="仿宋_GB2312" w:hAnsi="Arial" w:eastAsia="仿宋_GB2312" w:cs="Arial"/>
          <w:color w:val="515151"/>
          <w:sz w:val="32"/>
          <w:szCs w:val="32"/>
        </w:rPr>
        <w:t>为贯彻落实《国家中长期教育改革和发展规划纲要（2010-2020）》和《广东省教育厅关于同意中山大学南方学院为高等教育体制综合改革试点院校的复函》（粤教规函〔2012〕148号），深化我院教育教学改革，全面推动我院教育综合改革试点工作，实现创建高水平民办大学的发展目标，特制订了《中山大学南方学院学分制本科生学籍管理规定》等学分制配套制度，自2015级学生起开始实施。经发</w:t>
      </w:r>
      <w:r>
        <w:rPr>
          <w:rFonts w:hint="eastAsia" w:ascii="仿宋_GB2312" w:hAnsi="Arial" w:eastAsia="仿宋_GB2312" w:cs="Arial"/>
          <w:color w:val="515151"/>
          <w:sz w:val="32"/>
          <w:szCs w:val="32"/>
        </w:rPr>
        <w:t>展规划与制度建设办公室审核、学院批准，现予以印发，请遵照执行。</w:t>
      </w:r>
    </w:p>
    <w:p>
      <w:pPr>
        <w:pStyle w:val="2"/>
        <w:spacing w:before="0" w:beforeAutospacing="0" w:after="0" w:afterAutospacing="0" w:line="360" w:lineRule="atLeast"/>
        <w:ind w:firstLine="645"/>
        <w:rPr>
          <w:rFonts w:hint="eastAsia" w:ascii="仿宋_GB2312" w:hAnsi="Arial" w:eastAsia="仿宋_GB2312" w:cs="Arial"/>
          <w:color w:val="515151"/>
          <w:sz w:val="32"/>
          <w:szCs w:val="32"/>
        </w:rPr>
      </w:pPr>
      <w:r>
        <w:rPr>
          <w:rFonts w:hint="eastAsia" w:ascii="仿宋_GB2312" w:hAnsi="Arial" w:eastAsia="仿宋_GB2312" w:cs="Arial"/>
          <w:color w:val="515151"/>
          <w:sz w:val="32"/>
          <w:szCs w:val="32"/>
        </w:rPr>
        <w:t>特此通知。</w:t>
      </w:r>
    </w:p>
    <w:p>
      <w:pPr>
        <w:pStyle w:val="2"/>
        <w:spacing w:before="0" w:beforeAutospacing="0" w:after="0" w:afterAutospacing="0" w:line="360" w:lineRule="atLeast"/>
        <w:rPr>
          <w:rFonts w:ascii="Arial" w:hAnsi="Arial" w:cs="Arial"/>
          <w:color w:val="515151"/>
        </w:rPr>
      </w:pPr>
      <w:r>
        <w:rPr>
          <w:rFonts w:hint="eastAsia" w:ascii="仿宋_GB2312" w:hAnsi="Arial" w:eastAsia="仿宋_GB2312" w:cs="Arial"/>
          <w:color w:val="515151"/>
          <w:sz w:val="32"/>
          <w:szCs w:val="32"/>
        </w:rPr>
        <w:t> </w:t>
      </w:r>
    </w:p>
    <w:p>
      <w:pPr>
        <w:pStyle w:val="2"/>
        <w:spacing w:before="0" w:beforeAutospacing="0" w:after="0" w:afterAutospacing="0" w:line="360" w:lineRule="atLeast"/>
        <w:ind w:firstLine="645"/>
        <w:rPr>
          <w:rFonts w:ascii="Arial" w:hAnsi="Arial" w:cs="Arial"/>
          <w:color w:val="515151"/>
        </w:rPr>
      </w:pPr>
      <w:r>
        <w:rPr>
          <w:rFonts w:hint="eastAsia" w:ascii="仿宋_GB2312" w:hAnsi="Arial" w:eastAsia="仿宋_GB2312" w:cs="Arial"/>
          <w:color w:val="515151"/>
          <w:sz w:val="32"/>
          <w:szCs w:val="32"/>
        </w:rPr>
        <w:t>附件：1.中山大学南方学院学分制本科生学籍管理规定</w:t>
      </w:r>
    </w:p>
    <w:p>
      <w:pPr>
        <w:pStyle w:val="2"/>
        <w:spacing w:before="0" w:beforeAutospacing="0" w:after="0" w:afterAutospacing="0" w:line="360" w:lineRule="atLeast"/>
        <w:ind w:firstLine="1605"/>
        <w:rPr>
          <w:rFonts w:ascii="Arial" w:hAnsi="Arial" w:cs="Arial"/>
          <w:color w:val="515151"/>
        </w:rPr>
      </w:pPr>
      <w:r>
        <w:rPr>
          <w:rFonts w:hint="eastAsia" w:ascii="仿宋_GB2312" w:hAnsi="Arial" w:eastAsia="仿宋_GB2312" w:cs="Arial"/>
          <w:color w:val="515151"/>
          <w:sz w:val="32"/>
          <w:szCs w:val="32"/>
        </w:rPr>
        <w:t>2.中山大学南方学院学分制课程管理规定</w:t>
      </w:r>
    </w:p>
    <w:p>
      <w:pPr>
        <w:pStyle w:val="2"/>
        <w:spacing w:before="0" w:beforeAutospacing="0" w:after="0" w:afterAutospacing="0" w:line="360" w:lineRule="atLeast"/>
        <w:ind w:firstLine="1605"/>
        <w:rPr>
          <w:rFonts w:ascii="Arial" w:hAnsi="Arial" w:cs="Arial"/>
          <w:color w:val="515151"/>
        </w:rPr>
      </w:pPr>
      <w:r>
        <w:rPr>
          <w:rFonts w:hint="eastAsia" w:ascii="仿宋_GB2312" w:hAnsi="Arial" w:eastAsia="仿宋_GB2312" w:cs="Arial"/>
          <w:color w:val="515151"/>
          <w:sz w:val="32"/>
          <w:szCs w:val="32"/>
        </w:rPr>
        <w:t>3.中山大学南方学院学分制第二课堂学分管理实施办法</w:t>
      </w:r>
    </w:p>
    <w:p>
      <w:pPr>
        <w:pStyle w:val="2"/>
        <w:spacing w:before="0" w:beforeAutospacing="0" w:after="0" w:afterAutospacing="0" w:line="360" w:lineRule="atLeast"/>
        <w:ind w:firstLine="1605"/>
        <w:rPr>
          <w:rFonts w:ascii="Arial" w:hAnsi="Arial" w:cs="Arial"/>
          <w:color w:val="515151"/>
        </w:rPr>
      </w:pPr>
      <w:r>
        <w:rPr>
          <w:rFonts w:hint="eastAsia" w:ascii="仿宋_GB2312" w:hAnsi="Arial" w:eastAsia="仿宋_GB2312" w:cs="Arial"/>
          <w:color w:val="515151"/>
          <w:sz w:val="32"/>
          <w:szCs w:val="32"/>
        </w:rPr>
        <w:t>4.中山大学南方学院学分制授予学士学位工作细则</w:t>
      </w:r>
    </w:p>
    <w:p>
      <w:pPr>
        <w:pStyle w:val="2"/>
        <w:spacing w:before="0" w:beforeAutospacing="0" w:after="0" w:afterAutospacing="0" w:line="360" w:lineRule="atLeast"/>
        <w:ind w:firstLine="1605"/>
        <w:rPr>
          <w:rFonts w:ascii="Arial" w:hAnsi="Arial" w:cs="Arial"/>
          <w:color w:val="515151"/>
        </w:rPr>
      </w:pPr>
      <w:r>
        <w:rPr>
          <w:rFonts w:hint="eastAsia" w:ascii="仿宋_GB2312" w:hAnsi="Arial" w:eastAsia="仿宋_GB2312" w:cs="Arial"/>
          <w:color w:val="515151"/>
          <w:sz w:val="32"/>
          <w:szCs w:val="32"/>
        </w:rPr>
        <w:t>5.中山大学南方学院学分制本科生导师制管理实施办法</w:t>
      </w:r>
    </w:p>
    <w:p>
      <w:pPr>
        <w:pStyle w:val="2"/>
        <w:spacing w:before="0" w:beforeAutospacing="0" w:after="0" w:afterAutospacing="0" w:line="360" w:lineRule="atLeast"/>
        <w:ind w:firstLine="1605"/>
        <w:rPr>
          <w:rFonts w:ascii="Arial" w:hAnsi="Arial" w:cs="Arial"/>
          <w:color w:val="515151"/>
        </w:rPr>
      </w:pPr>
      <w:r>
        <w:rPr>
          <w:rFonts w:hint="eastAsia" w:ascii="仿宋_GB2312" w:hAnsi="Arial" w:eastAsia="仿宋_GB2312" w:cs="Arial"/>
          <w:color w:val="515151"/>
          <w:sz w:val="32"/>
          <w:szCs w:val="32"/>
        </w:rPr>
        <w:t> </w:t>
      </w:r>
    </w:p>
    <w:p>
      <w:pPr>
        <w:pStyle w:val="2"/>
        <w:spacing w:before="0" w:beforeAutospacing="0" w:after="0" w:afterAutospacing="0" w:line="360" w:lineRule="atLeast"/>
        <w:ind w:firstLine="1605"/>
        <w:rPr>
          <w:rFonts w:ascii="Arial" w:hAnsi="Arial" w:cs="Arial"/>
          <w:color w:val="515151"/>
        </w:rPr>
      </w:pPr>
      <w:r>
        <w:rPr>
          <w:rFonts w:hint="eastAsia" w:ascii="仿宋_GB2312" w:hAnsi="Arial" w:eastAsia="仿宋_GB2312" w:cs="Arial"/>
          <w:color w:val="515151"/>
          <w:sz w:val="32"/>
          <w:szCs w:val="32"/>
        </w:rPr>
        <w:t> </w:t>
      </w:r>
    </w:p>
    <w:p>
      <w:pPr>
        <w:pStyle w:val="2"/>
        <w:spacing w:before="0" w:beforeAutospacing="0" w:after="0" w:afterAutospacing="0" w:line="360" w:lineRule="atLeast"/>
        <w:ind w:right="840" w:firstLine="4155"/>
        <w:jc w:val="right"/>
        <w:rPr>
          <w:rFonts w:ascii="Arial" w:hAnsi="Arial" w:cs="Arial"/>
          <w:color w:val="515151"/>
        </w:rPr>
      </w:pPr>
      <w:r>
        <w:rPr>
          <w:rFonts w:hint="eastAsia" w:ascii="仿宋_GB2312" w:hAnsi="Arial" w:eastAsia="仿宋_GB2312" w:cs="Arial"/>
          <w:color w:val="515151"/>
          <w:sz w:val="32"/>
          <w:szCs w:val="32"/>
        </w:rPr>
        <w:t>中山大学南方学院</w:t>
      </w:r>
    </w:p>
    <w:p>
      <w:pPr>
        <w:pStyle w:val="2"/>
        <w:spacing w:before="0" w:beforeAutospacing="0" w:after="0" w:afterAutospacing="0" w:line="360" w:lineRule="atLeast"/>
        <w:ind w:right="840" w:firstLine="4320"/>
        <w:jc w:val="right"/>
        <w:rPr>
          <w:rFonts w:ascii="Arial" w:hAnsi="Arial" w:cs="Arial"/>
          <w:color w:val="515151"/>
        </w:rPr>
      </w:pPr>
      <w:r>
        <w:rPr>
          <w:rFonts w:hint="eastAsia" w:ascii="仿宋_GB2312" w:hAnsi="Arial" w:eastAsia="仿宋_GB2312" w:cs="Arial"/>
          <w:color w:val="515151"/>
          <w:sz w:val="32"/>
          <w:szCs w:val="32"/>
        </w:rPr>
        <w:t>2015年7月21日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696"/>
    <w:rsid w:val="004E5696"/>
    <w:rsid w:val="00763B23"/>
    <w:rsid w:val="73911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2</Pages>
  <Words>66</Words>
  <Characters>381</Characters>
  <Lines>3</Lines>
  <Paragraphs>1</Paragraphs>
  <TotalTime>0</TotalTime>
  <ScaleCrop>false</ScaleCrop>
  <LinksUpToDate>false</LinksUpToDate>
  <CharactersWithSpaces>446</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2019-05-20T09:24:00Z</dcterms:created>
  <dc:creator>User</dc:creator>
  <cp:lastModifiedBy>雨后见彩虹</cp:lastModifiedBy>
  <dcterms:modified xsi:type="dcterms:W3CDTF">2020-10-10T06:55:29Z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