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keepNext/>
        <w:keepLines/>
        <w:pageBreakBefore w:val="0"/>
        <w:widowControl w:val="0"/>
        <w:kinsoku/>
        <w:wordWrap/>
        <w:overflowPunct/>
        <w:topLinePunct w:val="0"/>
        <w:autoSpaceDE/>
        <w:autoSpaceDN/>
        <w:bidi w:val="0"/>
        <w:adjustRightInd/>
        <w:snapToGrid/>
        <w:spacing w:before="0" w:after="0"/>
        <w:jc w:val="center"/>
        <w:textAlignment w:val="auto"/>
      </w:pPr>
      <w:commentRangeStart w:id="0"/>
      <w:r>
        <w:t>第</w:t>
      </w:r>
      <w:r>
        <w:rPr>
          <w:rFonts w:hint="eastAsia"/>
          <w:lang w:val="en-US" w:eastAsia="zh-CN"/>
        </w:rPr>
        <w:t>二</w:t>
      </w:r>
      <w:r>
        <w:t>章</w:t>
      </w:r>
      <w:r>
        <w:rPr>
          <w:rFonts w:hint="eastAsia"/>
        </w:rPr>
        <w:t xml:space="preserve"> </w:t>
      </w:r>
      <w:r>
        <w:rPr>
          <w:rFonts w:hint="eastAsia"/>
          <w:lang w:val="en-US" w:eastAsia="zh-CN"/>
        </w:rPr>
        <w:t xml:space="preserve"> </w:t>
      </w:r>
      <w:r>
        <w:t>人才培养方案</w:t>
      </w:r>
      <w:commentRangeEnd w:id="0"/>
      <w:r>
        <w:commentReference w:id="0"/>
      </w:r>
    </w:p>
    <w:p>
      <w:pPr>
        <w:pStyle w:val="26"/>
        <w:keepNext/>
        <w:keepLines/>
        <w:pageBreakBefore w:val="0"/>
        <w:widowControl w:val="0"/>
        <w:kinsoku/>
        <w:wordWrap/>
        <w:overflowPunct/>
        <w:topLinePunct w:val="0"/>
        <w:autoSpaceDE/>
        <w:autoSpaceDN/>
        <w:bidi w:val="0"/>
        <w:adjustRightInd/>
        <w:snapToGrid/>
        <w:spacing w:before="0" w:after="0"/>
        <w:jc w:val="center"/>
        <w:textAlignment w:val="auto"/>
      </w:pPr>
      <w:r>
        <w:rPr>
          <w:rFonts w:hint="eastAsia"/>
          <w:lang w:val="en-US" w:eastAsia="zh-CN"/>
        </w:rPr>
        <w:t>XX专业</w:t>
      </w:r>
      <w:r>
        <w:commentReference w:id="1"/>
      </w:r>
    </w:p>
    <w:p>
      <w:pPr>
        <w:pStyle w:val="19"/>
        <w:bidi w:val="0"/>
      </w:pPr>
      <w:commentRangeStart w:id="2"/>
      <w:r>
        <w:t>一、专业名称、代码和学制</w:t>
      </w:r>
      <w:commentRangeEnd w:id="2"/>
      <w:r>
        <w:commentReference w:id="2"/>
      </w:r>
    </w:p>
    <w:p>
      <w:pPr>
        <w:pStyle w:val="20"/>
        <w:bidi w:val="0"/>
        <w:rPr>
          <w:rFonts w:hint="eastAsia"/>
        </w:rPr>
      </w:pPr>
      <w:commentRangeStart w:id="3"/>
      <w:r>
        <w:t>（一）专业名称（中英文）：</w:t>
      </w:r>
      <w:r>
        <w:rPr>
          <w:rFonts w:hint="eastAsia"/>
        </w:rPr>
        <w:t>音乐学</w:t>
      </w:r>
      <w:r>
        <w:rPr>
          <w:rFonts w:hint="eastAsia"/>
          <w:lang w:eastAsia="zh-CN"/>
        </w:rPr>
        <w:t>（</w:t>
      </w:r>
      <w:r>
        <w:rPr>
          <w:rFonts w:hint="eastAsia"/>
        </w:rPr>
        <w:t>Musicology</w:t>
      </w:r>
      <w:r>
        <w:rPr>
          <w:rFonts w:hint="eastAsia"/>
          <w:lang w:eastAsia="zh-CN"/>
        </w:rPr>
        <w:t>）</w:t>
      </w:r>
      <w:commentRangeEnd w:id="3"/>
      <w:r>
        <w:commentReference w:id="3"/>
      </w:r>
    </w:p>
    <w:p>
      <w:pPr>
        <w:pStyle w:val="20"/>
        <w:bidi w:val="0"/>
      </w:pPr>
      <w:r>
        <w:t>（二）专业代码 ：130202</w:t>
      </w:r>
    </w:p>
    <w:p>
      <w:pPr>
        <w:pStyle w:val="20"/>
        <w:bidi w:val="0"/>
      </w:pPr>
      <w:r>
        <w:t>（三）学制：四年</w:t>
      </w:r>
    </w:p>
    <w:p>
      <w:pPr>
        <w:pStyle w:val="3"/>
        <w:bidi w:val="0"/>
      </w:pPr>
      <w:r>
        <w:t>二、培养目标和培养规格</w:t>
      </w:r>
    </w:p>
    <w:p>
      <w:pPr>
        <w:pStyle w:val="20"/>
        <w:bidi w:val="0"/>
        <w:ind w:left="482" w:firstLine="0"/>
        <w:jc w:val="center"/>
        <w:rPr>
          <w:rFonts w:hint="eastAsia" w:ascii="Times New Roman" w:hAnsi="Times New Roman" w:eastAsia="宋体" w:cs="Times New Roman"/>
          <w:b/>
          <w:kern w:val="2"/>
          <w:sz w:val="28"/>
          <w:szCs w:val="24"/>
          <w:lang w:val="en-US" w:eastAsia="zh-CN" w:bidi="ar-SA"/>
        </w:rPr>
      </w:pPr>
      <w:commentRangeStart w:id="4"/>
      <w:r>
        <w:rPr>
          <w:rFonts w:hint="eastAsia" w:ascii="Times New Roman" w:hAnsi="Times New Roman" w:eastAsia="宋体" w:cs="Times New Roman"/>
          <w:b/>
          <w:kern w:val="2"/>
          <w:sz w:val="28"/>
          <w:szCs w:val="24"/>
          <w:lang w:val="en-US" w:eastAsia="zh-CN" w:bidi="ar-SA"/>
        </w:rPr>
        <w:t>音乐教育方向</w:t>
      </w:r>
      <w:commentRangeEnd w:id="4"/>
      <w:r>
        <w:rPr>
          <w:rFonts w:ascii="Times New Roman" w:hAnsi="Times New Roman" w:eastAsia="宋体" w:cs="Times New Roman"/>
          <w:b/>
          <w:kern w:val="2"/>
          <w:sz w:val="28"/>
          <w:szCs w:val="24"/>
          <w:lang w:val="en-US" w:eastAsia="zh-CN" w:bidi="ar-SA"/>
        </w:rPr>
        <w:commentReference w:id="4"/>
      </w:r>
    </w:p>
    <w:p>
      <w:pPr>
        <w:pStyle w:val="20"/>
        <w:bidi w:val="0"/>
        <w:ind w:left="482" w:firstLine="0"/>
      </w:pPr>
      <w:commentRangeStart w:id="5"/>
      <w:r>
        <w:t>（一）培养目标</w:t>
      </w:r>
      <w:commentRangeEnd w:id="5"/>
      <w:r>
        <w:commentReference w:id="5"/>
      </w:r>
    </w:p>
    <w:p>
      <w:pPr>
        <w:pStyle w:val="21"/>
        <w:bidi w:val="0"/>
      </w:pPr>
      <w:commentRangeStart w:id="6"/>
      <w:r>
        <w:rPr>
          <w:rFonts w:hint="eastAsia"/>
        </w:rPr>
        <w:t>音乐学（音乐教育）专业：音乐教育方向旨在培养具有优秀音乐素养与教研能力的专门人才；培养音乐表演技能、教师教学技能及实践知识的高等创新型应用人才。通过本专业的学习，能适应教师专业化的发展要求，系统掌握音乐教育的专业理论与方法，具有运用所学知识分析、解决实际问题以及进行教学研究的能力，又能适应中小学音乐教育新课程改革的新形势。</w:t>
      </w:r>
      <w:commentRangeEnd w:id="6"/>
      <w:r>
        <w:commentReference w:id="6"/>
      </w:r>
    </w:p>
    <w:p>
      <w:pPr>
        <w:pStyle w:val="20"/>
        <w:bidi w:val="0"/>
        <w:ind w:left="482" w:firstLine="0"/>
      </w:pPr>
      <w:r>
        <w:rPr>
          <w:rFonts w:hint="eastAsia"/>
          <w:lang w:eastAsia="zh-CN"/>
        </w:rPr>
        <w:t>（</w:t>
      </w:r>
      <w:r>
        <w:rPr>
          <w:rFonts w:hint="eastAsia"/>
          <w:lang w:val="en-US" w:eastAsia="zh-CN"/>
        </w:rPr>
        <w:t>二</w:t>
      </w:r>
      <w:r>
        <w:rPr>
          <w:rFonts w:hint="eastAsia"/>
          <w:lang w:eastAsia="zh-CN"/>
        </w:rPr>
        <w:t>）</w:t>
      </w:r>
      <w:r>
        <w:t>培养规格</w:t>
      </w:r>
    </w:p>
    <w:p>
      <w:pPr>
        <w:pStyle w:val="6"/>
        <w:keepNext/>
        <w:keepLines/>
        <w:pageBreakBefore w:val="0"/>
        <w:widowControl w:val="0"/>
        <w:numPr>
          <w:ilvl w:val="0"/>
          <w:numId w:val="1"/>
        </w:numPr>
        <w:kinsoku/>
        <w:wordWrap/>
        <w:overflowPunct/>
        <w:topLinePunct w:val="0"/>
        <w:autoSpaceDE/>
        <w:autoSpaceDN/>
        <w:bidi w:val="0"/>
        <w:adjustRightInd/>
        <w:snapToGrid/>
        <w:textAlignment w:val="auto"/>
        <w:rPr>
          <w:rFonts w:hint="eastAsia"/>
        </w:rPr>
      </w:pPr>
      <w:commentRangeStart w:id="7"/>
      <w:r>
        <w:rPr>
          <w:rStyle w:val="24"/>
          <w:rFonts w:hint="eastAsia"/>
        </w:rPr>
        <w:t>知识要求</w:t>
      </w:r>
      <w:commentRangeEnd w:id="7"/>
      <w:r>
        <w:rPr>
          <w:rFonts w:hint="eastAsia"/>
        </w:rPr>
        <w:commentReference w:id="7"/>
      </w:r>
    </w:p>
    <w:p>
      <w:pPr>
        <w:pStyle w:val="21"/>
        <w:bidi w:val="0"/>
        <w:rPr>
          <w:rFonts w:hint="eastAsia"/>
        </w:rPr>
      </w:pPr>
      <w:r>
        <w:rPr>
          <w:rFonts w:hint="eastAsia"/>
        </w:rPr>
        <w:t>（1）文史类：掌握中西方音乐史、了解音乐历史线索以及脉络；具备音乐欣赏、音乐美学、民族民间音乐、艺术概论等基本知识与常识。</w:t>
      </w:r>
    </w:p>
    <w:p>
      <w:pPr>
        <w:pStyle w:val="21"/>
        <w:bidi w:val="0"/>
        <w:rPr>
          <w:rFonts w:hint="eastAsia"/>
        </w:rPr>
      </w:pPr>
      <w:r>
        <w:rPr>
          <w:rFonts w:hint="eastAsia"/>
        </w:rPr>
        <w:t>（2）技术理论类：掌握乐理、视唱练耳基础知识，学习一定的和声与作品分析、复调、配器等作曲入门知识。</w:t>
      </w:r>
    </w:p>
    <w:p>
      <w:pPr>
        <w:pStyle w:val="21"/>
        <w:bidi w:val="0"/>
        <w:rPr>
          <w:rFonts w:hint="eastAsia"/>
        </w:rPr>
      </w:pPr>
      <w:r>
        <w:rPr>
          <w:rFonts w:hint="eastAsia"/>
        </w:rPr>
        <w:t>（3）基础应用类：具有扎实的钢琴演奏、声乐演唱、器乐表演基本能力，合唱与指挥、形体与舞蹈编配、即兴弹唱（伴奏）的应用知识。</w:t>
      </w:r>
    </w:p>
    <w:p>
      <w:pPr>
        <w:pStyle w:val="21"/>
        <w:bidi w:val="0"/>
        <w:rPr>
          <w:rFonts w:hint="eastAsia"/>
        </w:rPr>
      </w:pPr>
      <w:r>
        <w:rPr>
          <w:rFonts w:hint="eastAsia"/>
        </w:rPr>
        <w:t>（4）音乐教育专业理论与应用：具备中小学音乐教学、世界音乐教学体系、音乐教学与课程论、教师教学技能训练、音乐微格教学等教育系统知识。</w:t>
      </w:r>
    </w:p>
    <w:p>
      <w:pPr>
        <w:pStyle w:val="6"/>
        <w:keepNext/>
        <w:keepLines/>
        <w:pageBreakBefore w:val="0"/>
        <w:widowControl w:val="0"/>
        <w:numPr>
          <w:ilvl w:val="0"/>
          <w:numId w:val="1"/>
        </w:numPr>
        <w:kinsoku/>
        <w:wordWrap/>
        <w:overflowPunct/>
        <w:topLinePunct w:val="0"/>
        <w:autoSpaceDE/>
        <w:autoSpaceDN/>
        <w:bidi w:val="0"/>
        <w:adjustRightInd/>
        <w:snapToGrid/>
        <w:textAlignment w:val="auto"/>
        <w:rPr>
          <w:rStyle w:val="24"/>
          <w:rFonts w:hint="eastAsia" w:eastAsiaTheme="minorEastAsia" w:cstheme="minorBidi"/>
        </w:rPr>
      </w:pPr>
      <w:r>
        <w:rPr>
          <w:rStyle w:val="24"/>
          <w:rFonts w:hint="eastAsia" w:eastAsiaTheme="minorEastAsia" w:cstheme="minorBidi"/>
        </w:rPr>
        <w:t>能力要求</w:t>
      </w:r>
    </w:p>
    <w:p>
      <w:pPr>
        <w:pStyle w:val="21"/>
        <w:bidi w:val="0"/>
        <w:rPr>
          <w:rFonts w:hint="eastAsia"/>
        </w:rPr>
      </w:pPr>
      <w:r>
        <w:rPr>
          <w:rFonts w:hint="eastAsia"/>
        </w:rPr>
        <w:t>（1）掌握中国、西方音乐历史的线索以及脉络，抓住主要人物与主要音乐事件；具有较强的音乐鉴赏能力，音乐美学趣味以及审美取向。熟悉中国民间音乐素材、各地区域性音乐特征与精髓。</w:t>
      </w:r>
    </w:p>
    <w:p>
      <w:pPr>
        <w:pStyle w:val="21"/>
        <w:bidi w:val="0"/>
        <w:rPr>
          <w:rFonts w:hint="eastAsia"/>
        </w:rPr>
      </w:pPr>
      <w:r>
        <w:rPr>
          <w:rFonts w:hint="eastAsia"/>
        </w:rPr>
        <w:t>（2）掌握基本乐理与视唱练耳能力，能够为视谱、视奏、视唱打下厚实基础。初步掌握作曲四大件，为歌曲写作（儿歌、童谣）以及即兴伴奏（歌曲类伴奏，简谱与五线谱）做良好的铺垫。</w:t>
      </w:r>
    </w:p>
    <w:p>
      <w:pPr>
        <w:pStyle w:val="21"/>
        <w:bidi w:val="0"/>
        <w:rPr>
          <w:rFonts w:hint="eastAsia"/>
        </w:rPr>
      </w:pPr>
      <w:r>
        <w:rPr>
          <w:rFonts w:hint="eastAsia"/>
        </w:rPr>
        <w:t>（3） 具备扎实的钢琴演奏、声乐演唱以及器乐表演能力，具有较强的专业技能，能够胜任舞台表演。在即兴伴奏方面，能够视谱快、和声准、乐感强，起到良好的艺术指导作用。能够组织中小学小型乐队的指挥与排练。具有一定的舞蹈编排、节目编排能力。</w:t>
      </w:r>
    </w:p>
    <w:p>
      <w:pPr>
        <w:pStyle w:val="21"/>
        <w:bidi w:val="0"/>
        <w:rPr>
          <w:rFonts w:hint="eastAsia"/>
        </w:rPr>
      </w:pPr>
      <w:r>
        <w:rPr>
          <w:rFonts w:hint="eastAsia"/>
        </w:rPr>
        <w:t>（4）能够有较强的组织音乐教学活动、文艺节目、文艺比赛等工作能力。音乐教学活动思路清晰、主次分明，熟悉中小学音乐教学内容，掌握备课程序与思路，教案与课件编写出色、会利用多媒体教学，具有现代化的开放教学思维与态度。</w:t>
      </w:r>
    </w:p>
    <w:p>
      <w:pPr>
        <w:pStyle w:val="4"/>
        <w:bidi w:val="0"/>
        <w:jc w:val="center"/>
        <w:rPr>
          <w:rFonts w:hint="eastAsia"/>
        </w:rPr>
      </w:pPr>
      <w:r>
        <w:rPr>
          <w:rFonts w:hint="eastAsia"/>
        </w:rPr>
        <w:t>音乐学理论及应用方向</w:t>
      </w:r>
    </w:p>
    <w:p>
      <w:pPr>
        <w:pStyle w:val="20"/>
        <w:bidi w:val="0"/>
        <w:ind w:left="482" w:firstLine="0"/>
      </w:pPr>
      <w:r>
        <w:t>（一）培养目标</w:t>
      </w:r>
    </w:p>
    <w:p>
      <w:pPr>
        <w:pStyle w:val="21"/>
        <w:bidi w:val="0"/>
      </w:pPr>
      <w:r>
        <w:rPr>
          <w:rFonts w:hint="eastAsia"/>
        </w:rPr>
        <w:t>音乐学（音乐学理论及应用）方向：培养学用兼备、知行合一的复合型音乐理论人才。首先需具备基本的社会科学及人文素质，具备基本的音乐理论及应用技能素养，接受较系统的“历史音乐学、体系音乐学和民族音乐学”三大学科理论及应用理论的基本训练，有较完整的中外音乐历史、中外传统音乐理论（含世界民族音乐）、民族音乐学（音乐人类学）、音乐形态分析理论、音乐教育学、音乐美学、音乐心理学、音乐艺术管理及岭南本土音乐文化等基本理论及应用知识结构，并培养基本的有关哲学、历史、人类学、民族学、美学、心理学和管理学相关学科的跨学科能力；同时需掌握对中外音乐艺术家、音乐作品、音乐行为、音乐观念、音乐组织、音乐社会的观察分析能力，掌握剖析音乐主体（音乐的创造者、表演者、接受者和传承者）、音乐观念、音乐行为及音乐作品的应用性方法，使其在具备一定的音乐科学理论基础上，更能较深入地进行都市、社区、企业及乡村的音乐文化活动社会调查，并能为其策划、组织相关音乐理论培训，以及应用音乐的传承传播功能进行各类音乐实践活动的能力；具有符合国家标准的普通话能力、外语水平和计算机实际应用能力。</w:t>
      </w:r>
    </w:p>
    <w:p>
      <w:pPr>
        <w:pStyle w:val="20"/>
        <w:bidi w:val="0"/>
        <w:ind w:left="482" w:firstLine="0"/>
      </w:pPr>
      <w:r>
        <w:rPr>
          <w:rFonts w:hint="eastAsia"/>
          <w:lang w:eastAsia="zh-CN"/>
        </w:rPr>
        <w:t>（</w:t>
      </w:r>
      <w:r>
        <w:rPr>
          <w:rFonts w:hint="eastAsia"/>
          <w:lang w:val="en-US" w:eastAsia="zh-CN"/>
        </w:rPr>
        <w:t>二</w:t>
      </w:r>
      <w:r>
        <w:rPr>
          <w:rFonts w:hint="eastAsia"/>
          <w:lang w:eastAsia="zh-CN"/>
        </w:rPr>
        <w:t>）</w:t>
      </w:r>
      <w:r>
        <w:t>培养规格</w:t>
      </w:r>
    </w:p>
    <w:p>
      <w:pPr>
        <w:pStyle w:val="22"/>
        <w:numPr>
          <w:ilvl w:val="0"/>
          <w:numId w:val="2"/>
        </w:numPr>
        <w:bidi w:val="0"/>
      </w:pPr>
      <w:r>
        <w:t>知识要求</w:t>
      </w:r>
    </w:p>
    <w:p>
      <w:pPr>
        <w:pStyle w:val="21"/>
        <w:bidi w:val="0"/>
      </w:pPr>
      <w:r>
        <w:t>（1）</w:t>
      </w:r>
      <w:r>
        <w:rPr>
          <w:rFonts w:hint="eastAsia"/>
        </w:rPr>
        <w:t>历史音乐学：首先能掌握中西方音乐历史，学习历代音乐历史中的创作者、表演者、接受者和传承者的生平、历史背景、时代特征、地域特征及民族特点，由此去厘清音乐历史线索及构架的发展演变和应用经验；其次学习分析具有历史代表性的经典作品，从经典作品中了解作家通过作品去与历史时代特征的应用连接关系，由此掌握音乐的风格史、应用技术史等框架。</w:t>
      </w:r>
    </w:p>
    <w:p>
      <w:pPr>
        <w:pStyle w:val="21"/>
        <w:bidi w:val="0"/>
      </w:pPr>
      <w:r>
        <w:t>（2）</w:t>
      </w:r>
      <w:r>
        <w:rPr>
          <w:rFonts w:hint="eastAsia"/>
        </w:rPr>
        <w:t>体系音乐学：分两个层次，首先是相关学科理论的学习，需掌握音乐美学、音乐心理学、音乐教育思想及体系和音乐艺术管理学等基础理论，为音乐作品的创作分析、接受心理、表演传播及运营管理等应用性理论打下基础；其次是掌握具体技术理论，如乐理、视唱练耳的理论，及一定的和声与作品分析、复调、配器等技术理论，解决作品形态分析层面需要的应用理论和方法。</w:t>
      </w:r>
    </w:p>
    <w:p>
      <w:pPr>
        <w:pStyle w:val="21"/>
        <w:bidi w:val="0"/>
      </w:pPr>
      <w:r>
        <w:t>（3）</w:t>
      </w:r>
      <w:r>
        <w:rPr>
          <w:rFonts w:hint="eastAsia"/>
        </w:rPr>
        <w:t>民族音乐学：民族音乐学（音乐人类学）概论、中外传统音乐概论（含世界民族音乐）、实地考察理论与方法以及岭南本土音乐文化的应用性方法学习，旨在培养学生掌握观察分析音乐社会、音乐主体、音乐观念、音乐行为、音乐作品及音乐传承的应用性技能，使其能在当代都市、社区、企业及乡村音乐文化活动中（包括在岭南地区各民系之中），发挥其音乐项目策划、考察调研、组织培训、传播管理等应用性能力。</w:t>
      </w:r>
    </w:p>
    <w:p>
      <w:pPr>
        <w:pStyle w:val="22"/>
        <w:numPr>
          <w:ilvl w:val="0"/>
          <w:numId w:val="2"/>
        </w:numPr>
        <w:bidi w:val="0"/>
      </w:pPr>
      <w:r>
        <w:t>能力要求</w:t>
      </w:r>
    </w:p>
    <w:p>
      <w:pPr>
        <w:pStyle w:val="21"/>
        <w:bidi w:val="0"/>
      </w:pPr>
      <w:r>
        <w:t>（1）</w:t>
      </w:r>
      <w:r>
        <w:rPr>
          <w:rFonts w:hint="eastAsia"/>
        </w:rPr>
        <w:t>掌握中西方音乐的历史线索及经验构架；了解中西方各民族传统音乐的精髓与艺术音乐创造之间的关系；熟悉民间音乐素材与构成各地“区域音乐知识体系”的应用特征与精髓；把握时代、地域、民族、语言等对音乐历史及其重要人物、经典作品之间直接或间接的链接关系，从而了解音乐性质的文化来源、美学品格及应用技能；具有基本的音乐观察、调研、及社会音乐管理策划能力。</w:t>
      </w:r>
    </w:p>
    <w:p>
      <w:pPr>
        <w:pStyle w:val="21"/>
        <w:bidi w:val="0"/>
        <w:rPr>
          <w:rFonts w:hint="eastAsia"/>
        </w:rPr>
      </w:pPr>
      <w:r>
        <w:t>（2）</w:t>
      </w:r>
      <w:r>
        <w:rPr>
          <w:rFonts w:hint="eastAsia"/>
        </w:rPr>
        <w:t>掌握基本乐理与视唱练耳能力，掌握作曲技术理论的基本知识，为音乐感知、音乐形态分析、音乐作品风格等应用性认知打下良好基础。</w:t>
      </w:r>
    </w:p>
    <w:p>
      <w:pPr>
        <w:pStyle w:val="21"/>
        <w:bidi w:val="0"/>
        <w:rPr>
          <w:rFonts w:hint="eastAsia"/>
        </w:rPr>
      </w:pPr>
      <w:r>
        <w:t>（3）</w:t>
      </w:r>
      <w:r>
        <w:rPr>
          <w:rFonts w:hint="eastAsia"/>
        </w:rPr>
        <w:t>一是在理论音乐学方面:每个学生除能够分析世界经典艺术作品之外，还具备较扎实的策划、调研、管理社会音乐的应用实践能力，具有较完整的音乐理论科学知识技能，能独立或与团队共同胜任和完成一定程度的社会项目，在导师的指导下独立完成本科学位论文的课题和写作；二是在应用音乐学方面:在音乐学理论三大模块内涵的综合培育下，具有一定的音乐鉴赏能力、音乐培训能力、音乐组织管理、音乐传播活动的策划能力，能够在都市、社区、企业及乡村城镇的各类社会组织策划和实施音乐社团的各层次培训、传播、传承及管理活动，做到理论性及应用性的有机对接，“学用兼备、知行合一”。</w:t>
      </w:r>
    </w:p>
    <w:p>
      <w:pPr>
        <w:pStyle w:val="4"/>
        <w:bidi w:val="0"/>
      </w:pPr>
      <w:r>
        <w:t>三、专业主干课程</w:t>
      </w:r>
    </w:p>
    <w:p>
      <w:pPr>
        <w:pStyle w:val="4"/>
        <w:bidi w:val="0"/>
        <w:jc w:val="center"/>
        <w:rPr>
          <w:rFonts w:hint="eastAsia"/>
        </w:rPr>
      </w:pPr>
      <w:r>
        <w:rPr>
          <w:rFonts w:hint="eastAsia"/>
        </w:rPr>
        <w:t>音乐教育方向</w:t>
      </w:r>
    </w:p>
    <w:p>
      <w:pPr>
        <w:pStyle w:val="21"/>
        <w:bidi w:val="0"/>
        <w:rPr>
          <w:rFonts w:hint="eastAsia"/>
        </w:rPr>
      </w:pPr>
      <w:r>
        <w:rPr>
          <w:rFonts w:hint="eastAsia"/>
        </w:rPr>
        <w:t>中西方音乐史、视唱练耳、基本乐理、和声、曲式与作品分析、基础钢琴、基础声乐、即兴伴奏、合唱与指挥、世界音乐教育体系概论、音乐课程与教学论、教师教学技能训练。</w:t>
      </w:r>
    </w:p>
    <w:p>
      <w:pPr>
        <w:pStyle w:val="4"/>
        <w:bidi w:val="0"/>
        <w:jc w:val="center"/>
      </w:pPr>
      <w:r>
        <w:rPr>
          <w:rFonts w:hint="eastAsia"/>
        </w:rPr>
        <w:t>音乐学理论及应用方向</w:t>
      </w:r>
    </w:p>
    <w:p>
      <w:pPr>
        <w:pStyle w:val="20"/>
        <w:bidi w:val="0"/>
        <w:ind w:left="482" w:firstLine="0"/>
      </w:pPr>
      <w:r>
        <w:rPr>
          <w:rFonts w:hint="eastAsia"/>
        </w:rPr>
        <w:t>(一)历史音乐学</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bCs/>
        </w:rPr>
      </w:pPr>
      <w:r>
        <w:rPr>
          <w:rFonts w:hint="eastAsia" w:ascii="Times New Roman" w:hAnsi="Times New Roman" w:eastAsia="宋体" w:cs="Times New Roman"/>
          <w:bCs/>
          <w:kern w:val="2"/>
          <w:sz w:val="21"/>
          <w:szCs w:val="24"/>
          <w:lang w:val="en-US" w:eastAsia="zh-CN" w:bidi="ar-SA"/>
        </w:rPr>
        <w:t>中国音乐史（古代音乐史；近现代音乐史）；外国音乐史（欧洲音乐史、非欧音乐史）</w:t>
      </w:r>
    </w:p>
    <w:p>
      <w:pPr>
        <w:pStyle w:val="20"/>
        <w:bidi w:val="0"/>
        <w:ind w:left="482" w:firstLine="0"/>
      </w:pPr>
      <w:r>
        <w:rPr>
          <w:rFonts w:hint="eastAsia"/>
        </w:rPr>
        <w:t>(</w:t>
      </w:r>
      <w:r>
        <w:t>二</w:t>
      </w:r>
      <w:r>
        <w:rPr>
          <w:rFonts w:hint="eastAsia"/>
        </w:rPr>
        <w:t>)</w:t>
      </w:r>
      <w:r>
        <w:t>体系音乐学</w:t>
      </w:r>
    </w:p>
    <w:p>
      <w:pPr>
        <w:pStyle w:val="21"/>
        <w:bidi w:val="0"/>
      </w:pPr>
      <w:r>
        <w:t>音乐美学概论；音乐心理学概论；音乐教育思想及方法体系；音乐艺术管理概论</w:t>
      </w:r>
    </w:p>
    <w:p>
      <w:pPr>
        <w:pStyle w:val="20"/>
        <w:bidi w:val="0"/>
        <w:ind w:left="482" w:firstLine="0"/>
      </w:pPr>
      <w:r>
        <w:rPr>
          <w:rFonts w:hint="eastAsia"/>
        </w:rPr>
        <w:t>(三)民族音乐学</w:t>
      </w:r>
    </w:p>
    <w:p>
      <w:pPr>
        <w:pStyle w:val="21"/>
        <w:bidi w:val="0"/>
      </w:pPr>
      <w:r>
        <w:rPr>
          <w:rFonts w:hint="eastAsia"/>
        </w:rPr>
        <w:t>民族音乐学（音乐人类学）概论；实地考察（社会调查）方法；世界民族音乐；中国传统音乐概论；岭南音乐文化概论；流行音乐概论。</w:t>
      </w:r>
    </w:p>
    <w:p>
      <w:pPr>
        <w:pStyle w:val="4"/>
        <w:bidi w:val="0"/>
      </w:pPr>
      <w:r>
        <w:t>四、主修专业毕业条件和学位授予</w:t>
      </w:r>
      <w:bookmarkStart w:id="0" w:name="_GoBack"/>
      <w:bookmarkEnd w:id="0"/>
    </w:p>
    <w:p>
      <w:pPr>
        <w:bidi w:val="0"/>
        <w:jc w:val="center"/>
        <w:rPr>
          <w:rFonts w:hint="eastAsia" w:ascii="宋体" w:hAnsi="宋体" w:eastAsia="宋体" w:cs="宋体"/>
          <w:b/>
          <w:bCs/>
        </w:rPr>
      </w:pPr>
      <w:commentRangeStart w:id="8"/>
      <w:r>
        <w:rPr>
          <w:rFonts w:hint="eastAsia" w:ascii="宋体" w:hAnsi="宋体" w:eastAsia="宋体" w:cs="宋体"/>
          <w:b/>
          <w:bCs/>
        </w:rPr>
        <w:t>毕业学分结构表</w:t>
      </w:r>
      <w:commentRangeEnd w:id="8"/>
      <w:r>
        <w:rPr>
          <w:rFonts w:hint="eastAsia" w:ascii="宋体" w:hAnsi="宋体" w:eastAsia="宋体" w:cs="宋体"/>
          <w:b/>
          <w:bCs/>
        </w:rPr>
        <w:commentReference w:id="8"/>
      </w:r>
    </w:p>
    <w:tbl>
      <w:tblPr>
        <w:tblStyle w:val="13"/>
        <w:tblW w:w="4998" w:type="pct"/>
        <w:tblInd w:w="0" w:type="dxa"/>
        <w:tblLayout w:type="autofit"/>
        <w:tblCellMar>
          <w:top w:w="0" w:type="dxa"/>
          <w:left w:w="108" w:type="dxa"/>
          <w:bottom w:w="0" w:type="dxa"/>
          <w:right w:w="108" w:type="dxa"/>
        </w:tblCellMar>
      </w:tblPr>
      <w:tblGrid>
        <w:gridCol w:w="1440"/>
        <w:gridCol w:w="723"/>
        <w:gridCol w:w="899"/>
        <w:gridCol w:w="1248"/>
        <w:gridCol w:w="723"/>
        <w:gridCol w:w="723"/>
        <w:gridCol w:w="814"/>
        <w:gridCol w:w="818"/>
        <w:gridCol w:w="844"/>
        <w:gridCol w:w="575"/>
        <w:gridCol w:w="1043"/>
      </w:tblGrid>
      <w:tr>
        <w:tblPrEx>
          <w:tblCellMar>
            <w:top w:w="0" w:type="dxa"/>
            <w:left w:w="108" w:type="dxa"/>
            <w:bottom w:w="0" w:type="dxa"/>
            <w:right w:w="108" w:type="dxa"/>
          </w:tblCellMar>
        </w:tblPrEx>
        <w:trPr>
          <w:trHeight w:val="555" w:hRule="atLeast"/>
        </w:trPr>
        <w:tc>
          <w:tcPr>
            <w:tcW w:w="731"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楷体" w:hAnsi="楷体" w:eastAsia="楷体" w:cs="楷体"/>
                <w:b/>
                <w:bCs/>
                <w:color w:val="000000"/>
                <w:sz w:val="21"/>
                <w:szCs w:val="21"/>
              </w:rPr>
            </w:pPr>
            <w:r>
              <w:rPr>
                <w:rFonts w:hint="eastAsia" w:ascii="楷体" w:hAnsi="楷体" w:eastAsia="楷体" w:cs="楷体"/>
                <w:b/>
                <w:bCs/>
                <w:color w:val="000000"/>
                <w:kern w:val="0"/>
                <w:sz w:val="21"/>
                <w:szCs w:val="21"/>
                <w:lang w:bidi="ar"/>
              </w:rPr>
              <w:t>毕业总学分</w:t>
            </w:r>
          </w:p>
        </w:tc>
        <w:tc>
          <w:tcPr>
            <w:tcW w:w="1456" w:type="pct"/>
            <w:gridSpan w:val="3"/>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楷体" w:hAnsi="楷体" w:eastAsia="楷体" w:cs="楷体"/>
                <w:b/>
                <w:bCs/>
                <w:color w:val="000000"/>
                <w:sz w:val="21"/>
                <w:szCs w:val="21"/>
              </w:rPr>
            </w:pPr>
            <w:r>
              <w:rPr>
                <w:rFonts w:hint="eastAsia" w:ascii="楷体" w:hAnsi="楷体" w:eastAsia="楷体" w:cs="楷体"/>
                <w:b/>
                <w:bCs/>
                <w:color w:val="000000"/>
                <w:kern w:val="0"/>
                <w:sz w:val="21"/>
                <w:szCs w:val="21"/>
                <w:lang w:bidi="ar"/>
              </w:rPr>
              <w:t>公共教育</w:t>
            </w:r>
          </w:p>
        </w:tc>
        <w:tc>
          <w:tcPr>
            <w:tcW w:w="1990" w:type="pct"/>
            <w:gridSpan w:val="5"/>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楷体" w:hAnsi="楷体" w:eastAsia="楷体" w:cs="楷体"/>
                <w:b/>
                <w:bCs/>
                <w:color w:val="000000"/>
                <w:sz w:val="21"/>
                <w:szCs w:val="21"/>
              </w:rPr>
            </w:pPr>
            <w:r>
              <w:rPr>
                <w:rFonts w:hint="eastAsia" w:ascii="楷体" w:hAnsi="楷体" w:eastAsia="楷体" w:cs="楷体"/>
                <w:b/>
                <w:bCs/>
                <w:color w:val="000000"/>
                <w:kern w:val="0"/>
                <w:sz w:val="21"/>
                <w:szCs w:val="21"/>
                <w:lang w:bidi="ar"/>
              </w:rPr>
              <w:t>专业教育</w:t>
            </w:r>
          </w:p>
        </w:tc>
        <w:tc>
          <w:tcPr>
            <w:tcW w:w="821" w:type="pct"/>
            <w:gridSpan w:val="2"/>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楷体" w:hAnsi="楷体" w:eastAsia="楷体" w:cs="楷体"/>
                <w:b/>
                <w:bCs/>
                <w:color w:val="000000"/>
                <w:sz w:val="21"/>
                <w:szCs w:val="21"/>
              </w:rPr>
            </w:pPr>
            <w:r>
              <w:rPr>
                <w:rFonts w:hint="eastAsia" w:ascii="楷体" w:hAnsi="楷体" w:eastAsia="楷体" w:cs="楷体"/>
                <w:b/>
                <w:bCs/>
                <w:color w:val="000000"/>
                <w:kern w:val="0"/>
                <w:sz w:val="21"/>
                <w:szCs w:val="21"/>
                <w:lang w:bidi="ar"/>
              </w:rPr>
              <w:t>成长教育</w:t>
            </w:r>
          </w:p>
        </w:tc>
      </w:tr>
      <w:tr>
        <w:tblPrEx>
          <w:tblCellMar>
            <w:top w:w="0" w:type="dxa"/>
            <w:left w:w="108" w:type="dxa"/>
            <w:bottom w:w="0" w:type="dxa"/>
            <w:right w:w="108" w:type="dxa"/>
          </w:tblCellMar>
        </w:tblPrEx>
        <w:trPr>
          <w:trHeight w:val="285" w:hRule="atLeast"/>
        </w:trPr>
        <w:tc>
          <w:tcPr>
            <w:tcW w:w="731" w:type="pct"/>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ascii="楷体" w:hAnsi="楷体" w:eastAsia="楷体" w:cs="楷体"/>
                <w:b/>
                <w:bCs/>
                <w:color w:val="000000"/>
                <w:sz w:val="21"/>
                <w:szCs w:val="21"/>
              </w:rPr>
            </w:pPr>
          </w:p>
        </w:tc>
        <w:tc>
          <w:tcPr>
            <w:tcW w:w="367" w:type="pct"/>
            <w:vMerge w:val="restart"/>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楷体" w:hAnsi="楷体" w:eastAsia="楷体" w:cs="楷体"/>
                <w:b/>
                <w:bCs/>
                <w:color w:val="000000"/>
                <w:sz w:val="21"/>
                <w:szCs w:val="21"/>
              </w:rPr>
            </w:pPr>
            <w:r>
              <w:rPr>
                <w:rFonts w:hint="eastAsia" w:ascii="楷体" w:hAnsi="楷体" w:eastAsia="楷体" w:cs="楷体"/>
                <w:b/>
                <w:bCs/>
                <w:color w:val="000000"/>
                <w:kern w:val="0"/>
                <w:sz w:val="21"/>
                <w:szCs w:val="21"/>
                <w:lang w:bidi="ar"/>
              </w:rPr>
              <w:t>公共必修课</w:t>
            </w:r>
          </w:p>
        </w:tc>
        <w:tc>
          <w:tcPr>
            <w:tcW w:w="1088" w:type="pct"/>
            <w:gridSpan w:val="2"/>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楷体" w:hAnsi="楷体" w:eastAsia="楷体" w:cs="楷体"/>
                <w:b/>
                <w:bCs/>
                <w:color w:val="000000"/>
                <w:sz w:val="21"/>
                <w:szCs w:val="21"/>
              </w:rPr>
            </w:pPr>
            <w:r>
              <w:rPr>
                <w:rFonts w:hint="eastAsia" w:ascii="楷体" w:hAnsi="楷体" w:eastAsia="楷体" w:cs="楷体"/>
                <w:b/>
                <w:bCs/>
                <w:color w:val="000000"/>
                <w:kern w:val="0"/>
                <w:sz w:val="21"/>
                <w:szCs w:val="21"/>
                <w:lang w:bidi="ar"/>
              </w:rPr>
              <w:t>选修</w:t>
            </w:r>
          </w:p>
        </w:tc>
        <w:tc>
          <w:tcPr>
            <w:tcW w:w="1562" w:type="pct"/>
            <w:gridSpan w:val="4"/>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楷体" w:hAnsi="楷体" w:eastAsia="楷体" w:cs="楷体"/>
                <w:b/>
                <w:bCs/>
                <w:color w:val="000000"/>
                <w:sz w:val="21"/>
                <w:szCs w:val="21"/>
              </w:rPr>
            </w:pPr>
            <w:r>
              <w:rPr>
                <w:rFonts w:hint="eastAsia" w:ascii="楷体" w:hAnsi="楷体" w:eastAsia="楷体" w:cs="楷体"/>
                <w:b/>
                <w:bCs/>
                <w:color w:val="000000"/>
                <w:kern w:val="0"/>
                <w:sz w:val="21"/>
                <w:szCs w:val="21"/>
                <w:lang w:bidi="ar"/>
              </w:rPr>
              <w:t>必修</w:t>
            </w:r>
          </w:p>
        </w:tc>
        <w:tc>
          <w:tcPr>
            <w:tcW w:w="427" w:type="pct"/>
            <w:vMerge w:val="restart"/>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楷体" w:hAnsi="楷体" w:eastAsia="楷体" w:cs="楷体"/>
                <w:b/>
                <w:bCs/>
                <w:color w:val="000000"/>
                <w:sz w:val="21"/>
                <w:szCs w:val="21"/>
              </w:rPr>
            </w:pPr>
            <w:r>
              <w:rPr>
                <w:rFonts w:hint="eastAsia" w:ascii="楷体" w:hAnsi="楷体" w:eastAsia="楷体" w:cs="楷体"/>
                <w:b/>
                <w:bCs/>
                <w:color w:val="000000"/>
                <w:kern w:val="0"/>
                <w:sz w:val="21"/>
                <w:szCs w:val="21"/>
                <w:lang w:bidi="ar"/>
              </w:rPr>
              <w:t>专业选修课</w:t>
            </w:r>
          </w:p>
        </w:tc>
        <w:tc>
          <w:tcPr>
            <w:tcW w:w="292" w:type="pct"/>
            <w:vMerge w:val="restart"/>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楷体" w:hAnsi="楷体" w:eastAsia="楷体" w:cs="楷体"/>
                <w:b/>
                <w:bCs/>
                <w:color w:val="000000"/>
                <w:sz w:val="21"/>
                <w:szCs w:val="21"/>
              </w:rPr>
            </w:pPr>
            <w:r>
              <w:rPr>
                <w:rFonts w:hint="eastAsia" w:ascii="楷体" w:hAnsi="楷体" w:eastAsia="楷体" w:cs="楷体"/>
                <w:b/>
                <w:bCs/>
                <w:color w:val="000000"/>
                <w:kern w:val="0"/>
                <w:sz w:val="21"/>
                <w:szCs w:val="21"/>
                <w:lang w:bidi="ar"/>
              </w:rPr>
              <w:t>成长必修课</w:t>
            </w:r>
          </w:p>
        </w:tc>
        <w:tc>
          <w:tcPr>
            <w:tcW w:w="528" w:type="pct"/>
            <w:vMerge w:val="restart"/>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楷体" w:hAnsi="楷体" w:eastAsia="楷体" w:cs="楷体"/>
                <w:b/>
                <w:bCs/>
                <w:color w:val="000000"/>
                <w:kern w:val="0"/>
                <w:sz w:val="21"/>
                <w:szCs w:val="21"/>
                <w:lang w:bidi="ar"/>
              </w:rPr>
            </w:pPr>
            <w:r>
              <w:rPr>
                <w:rFonts w:hint="eastAsia" w:ascii="楷体" w:hAnsi="楷体" w:eastAsia="楷体" w:cs="楷体"/>
                <w:b/>
                <w:bCs/>
                <w:color w:val="000000"/>
                <w:kern w:val="0"/>
                <w:sz w:val="21"/>
                <w:szCs w:val="21"/>
                <w:lang w:val="en-US" w:eastAsia="zh-CN" w:bidi="ar"/>
              </w:rPr>
              <w:t>学生成长教育课</w:t>
            </w:r>
          </w:p>
        </w:tc>
      </w:tr>
      <w:tr>
        <w:tblPrEx>
          <w:tblCellMar>
            <w:top w:w="0" w:type="dxa"/>
            <w:left w:w="108" w:type="dxa"/>
            <w:bottom w:w="0" w:type="dxa"/>
            <w:right w:w="108" w:type="dxa"/>
          </w:tblCellMar>
        </w:tblPrEx>
        <w:trPr>
          <w:trHeight w:val="810" w:hRule="atLeast"/>
        </w:trPr>
        <w:tc>
          <w:tcPr>
            <w:tcW w:w="731" w:type="pct"/>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ascii="楷体" w:hAnsi="楷体" w:eastAsia="楷体" w:cs="楷体"/>
                <w:b/>
                <w:bCs/>
                <w:color w:val="000000"/>
                <w:sz w:val="22"/>
                <w:szCs w:val="22"/>
              </w:rPr>
            </w:pPr>
          </w:p>
        </w:tc>
        <w:tc>
          <w:tcPr>
            <w:tcW w:w="367" w:type="pct"/>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ascii="楷体" w:hAnsi="楷体" w:eastAsia="楷体" w:cs="楷体"/>
                <w:b/>
                <w:bCs/>
                <w:color w:val="000000"/>
                <w:sz w:val="22"/>
                <w:szCs w:val="22"/>
              </w:rPr>
            </w:pPr>
          </w:p>
        </w:tc>
        <w:tc>
          <w:tcPr>
            <w:tcW w:w="456" w:type="pct"/>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楷体" w:hAnsi="楷体" w:eastAsia="楷体" w:cs="楷体"/>
                <w:b/>
                <w:bCs/>
                <w:color w:val="000000"/>
                <w:sz w:val="21"/>
                <w:szCs w:val="21"/>
              </w:rPr>
            </w:pPr>
            <w:r>
              <w:rPr>
                <w:rFonts w:hint="eastAsia" w:ascii="楷体" w:hAnsi="楷体" w:eastAsia="楷体" w:cs="楷体"/>
                <w:b/>
                <w:bCs/>
                <w:color w:val="000000"/>
                <w:kern w:val="0"/>
                <w:sz w:val="21"/>
                <w:szCs w:val="21"/>
                <w:lang w:bidi="ar"/>
              </w:rPr>
              <w:t>美育限定性选修课</w:t>
            </w:r>
          </w:p>
        </w:tc>
        <w:tc>
          <w:tcPr>
            <w:tcW w:w="632" w:type="pct"/>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楷体" w:hAnsi="楷体" w:eastAsia="楷体" w:cs="楷体"/>
                <w:b/>
                <w:bCs/>
                <w:color w:val="000000"/>
                <w:sz w:val="21"/>
                <w:szCs w:val="21"/>
              </w:rPr>
            </w:pPr>
            <w:r>
              <w:rPr>
                <w:rFonts w:hint="eastAsia" w:ascii="楷体" w:hAnsi="楷体" w:eastAsia="楷体" w:cs="楷体"/>
                <w:b/>
                <w:bCs/>
                <w:color w:val="000000"/>
                <w:kern w:val="0"/>
                <w:sz w:val="21"/>
                <w:szCs w:val="21"/>
                <w:lang w:bidi="ar"/>
              </w:rPr>
              <w:t>校级公选课和学术报告型公选课</w:t>
            </w:r>
          </w:p>
        </w:tc>
        <w:tc>
          <w:tcPr>
            <w:tcW w:w="367" w:type="pct"/>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楷体" w:hAnsi="楷体" w:eastAsia="楷体" w:cs="楷体"/>
                <w:b/>
                <w:bCs/>
                <w:color w:val="000000"/>
                <w:sz w:val="21"/>
                <w:szCs w:val="21"/>
              </w:rPr>
            </w:pPr>
            <w:r>
              <w:rPr>
                <w:rFonts w:hint="eastAsia" w:ascii="楷体" w:hAnsi="楷体" w:eastAsia="楷体" w:cs="楷体"/>
                <w:b/>
                <w:bCs/>
                <w:color w:val="000000"/>
                <w:kern w:val="0"/>
                <w:sz w:val="21"/>
                <w:szCs w:val="21"/>
                <w:lang w:bidi="ar"/>
              </w:rPr>
              <w:t>专业核心课</w:t>
            </w:r>
          </w:p>
        </w:tc>
        <w:tc>
          <w:tcPr>
            <w:tcW w:w="367" w:type="pct"/>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楷体" w:hAnsi="楷体" w:eastAsia="楷体" w:cs="楷体"/>
                <w:b/>
                <w:bCs/>
                <w:color w:val="000000"/>
                <w:sz w:val="21"/>
                <w:szCs w:val="21"/>
              </w:rPr>
            </w:pPr>
            <w:r>
              <w:rPr>
                <w:rFonts w:hint="eastAsia" w:ascii="楷体" w:hAnsi="楷体" w:eastAsia="楷体" w:cs="楷体"/>
                <w:b/>
                <w:bCs/>
                <w:color w:val="000000"/>
                <w:kern w:val="0"/>
                <w:sz w:val="21"/>
                <w:szCs w:val="21"/>
                <w:lang w:bidi="ar"/>
              </w:rPr>
              <w:t>专业方向课</w:t>
            </w:r>
          </w:p>
        </w:tc>
        <w:tc>
          <w:tcPr>
            <w:tcW w:w="413" w:type="pct"/>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楷体" w:hAnsi="楷体" w:eastAsia="楷体" w:cs="楷体"/>
                <w:b/>
                <w:bCs/>
                <w:color w:val="000000"/>
                <w:sz w:val="21"/>
                <w:szCs w:val="21"/>
              </w:rPr>
            </w:pPr>
            <w:r>
              <w:rPr>
                <w:rFonts w:hint="eastAsia" w:ascii="楷体" w:hAnsi="楷体" w:eastAsia="楷体" w:cs="楷体"/>
                <w:b/>
                <w:bCs/>
                <w:color w:val="000000"/>
                <w:kern w:val="0"/>
                <w:sz w:val="21"/>
                <w:szCs w:val="21"/>
                <w:lang w:bidi="ar"/>
              </w:rPr>
              <w:t>毕业论文/设计</w:t>
            </w:r>
          </w:p>
        </w:tc>
        <w:tc>
          <w:tcPr>
            <w:tcW w:w="413" w:type="pct"/>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楷体" w:hAnsi="楷体" w:eastAsia="楷体" w:cs="楷体"/>
                <w:b/>
                <w:bCs/>
                <w:color w:val="000000"/>
                <w:sz w:val="21"/>
                <w:szCs w:val="21"/>
              </w:rPr>
            </w:pPr>
            <w:r>
              <w:rPr>
                <w:rFonts w:hint="eastAsia" w:ascii="楷体" w:hAnsi="楷体" w:eastAsia="楷体" w:cs="楷体"/>
                <w:b/>
                <w:bCs/>
                <w:color w:val="000000"/>
                <w:kern w:val="0"/>
                <w:sz w:val="21"/>
                <w:szCs w:val="21"/>
                <w:lang w:bidi="ar"/>
              </w:rPr>
              <w:t>劳动教育课</w:t>
            </w:r>
          </w:p>
        </w:tc>
        <w:tc>
          <w:tcPr>
            <w:tcW w:w="427" w:type="pct"/>
            <w:vMerge w:val="continue"/>
            <w:tcBorders>
              <w:top w:val="single" w:color="000000" w:sz="8" w:space="0"/>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ascii="楷体" w:hAnsi="楷体" w:eastAsia="楷体" w:cs="楷体"/>
                <w:b/>
                <w:bCs/>
                <w:color w:val="000000"/>
                <w:sz w:val="22"/>
                <w:szCs w:val="22"/>
              </w:rPr>
            </w:pPr>
          </w:p>
        </w:tc>
        <w:tc>
          <w:tcPr>
            <w:tcW w:w="292" w:type="pct"/>
            <w:vMerge w:val="continue"/>
            <w:tcBorders>
              <w:top w:val="single" w:color="000000" w:sz="8" w:space="0"/>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ascii="楷体" w:hAnsi="楷体" w:eastAsia="楷体" w:cs="楷体"/>
                <w:b/>
                <w:bCs/>
                <w:color w:val="000000"/>
                <w:sz w:val="22"/>
                <w:szCs w:val="22"/>
              </w:rPr>
            </w:pPr>
          </w:p>
        </w:tc>
        <w:tc>
          <w:tcPr>
            <w:tcW w:w="528" w:type="pct"/>
            <w:vMerge w:val="continue"/>
            <w:tcBorders>
              <w:top w:val="single" w:color="000000" w:sz="8" w:space="0"/>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ascii="楷体" w:hAnsi="楷体" w:eastAsia="楷体" w:cs="楷体"/>
                <w:b/>
                <w:bCs/>
                <w:color w:val="000000"/>
                <w:sz w:val="22"/>
                <w:szCs w:val="22"/>
              </w:rPr>
            </w:pPr>
          </w:p>
        </w:tc>
      </w:tr>
      <w:tr>
        <w:tblPrEx>
          <w:tblCellMar>
            <w:top w:w="0" w:type="dxa"/>
            <w:left w:w="108" w:type="dxa"/>
            <w:bottom w:w="0" w:type="dxa"/>
            <w:right w:w="108" w:type="dxa"/>
          </w:tblCellMar>
        </w:tblPrEx>
        <w:trPr>
          <w:trHeight w:val="300" w:hRule="atLeast"/>
        </w:trPr>
        <w:tc>
          <w:tcPr>
            <w:tcW w:w="731"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楷体" w:cs="Times New Roman"/>
                <w:b/>
                <w:bCs/>
                <w:color w:val="auto"/>
                <w:sz w:val="21"/>
                <w:szCs w:val="21"/>
              </w:rPr>
            </w:pPr>
            <w:commentRangeStart w:id="9"/>
            <w:r>
              <w:rPr>
                <w:rFonts w:hint="default" w:ascii="Times New Roman" w:hAnsi="Times New Roman" w:eastAsia="楷体" w:cs="Times New Roman"/>
                <w:b/>
                <w:bCs/>
                <w:color w:val="auto"/>
                <w:sz w:val="21"/>
                <w:szCs w:val="21"/>
              </w:rPr>
              <w:t>150+</w:t>
            </w:r>
            <w:r>
              <w:rPr>
                <w:rFonts w:hint="default" w:ascii="Times New Roman" w:hAnsi="Times New Roman" w:eastAsia="楷体" w:cs="Times New Roman"/>
                <w:b/>
                <w:bCs/>
                <w:color w:val="auto"/>
                <w:sz w:val="21"/>
                <w:szCs w:val="21"/>
                <w:lang w:val="en-US" w:eastAsia="zh-CN"/>
              </w:rPr>
              <w:t>(8~10)</w:t>
            </w:r>
          </w:p>
        </w:tc>
        <w:tc>
          <w:tcPr>
            <w:tcW w:w="367" w:type="pct"/>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24</w:t>
            </w:r>
          </w:p>
        </w:tc>
        <w:tc>
          <w:tcPr>
            <w:tcW w:w="456" w:type="pct"/>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2</w:t>
            </w:r>
          </w:p>
        </w:tc>
        <w:tc>
          <w:tcPr>
            <w:tcW w:w="632" w:type="pct"/>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13</w:t>
            </w:r>
          </w:p>
        </w:tc>
        <w:tc>
          <w:tcPr>
            <w:tcW w:w="367" w:type="pct"/>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25</w:t>
            </w:r>
          </w:p>
        </w:tc>
        <w:tc>
          <w:tcPr>
            <w:tcW w:w="367" w:type="pct"/>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25</w:t>
            </w:r>
          </w:p>
        </w:tc>
        <w:tc>
          <w:tcPr>
            <w:tcW w:w="413" w:type="pct"/>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4</w:t>
            </w:r>
          </w:p>
        </w:tc>
        <w:tc>
          <w:tcPr>
            <w:tcW w:w="413" w:type="pct"/>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5</w:t>
            </w:r>
          </w:p>
        </w:tc>
        <w:tc>
          <w:tcPr>
            <w:tcW w:w="427" w:type="pct"/>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45</w:t>
            </w:r>
          </w:p>
        </w:tc>
        <w:tc>
          <w:tcPr>
            <w:tcW w:w="292" w:type="pct"/>
            <w:tcBorders>
              <w:top w:val="nil"/>
              <w:left w:val="nil"/>
              <w:bottom w:val="single" w:color="000000" w:sz="8"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7</w:t>
            </w:r>
          </w:p>
        </w:tc>
        <w:tc>
          <w:tcPr>
            <w:tcW w:w="528" w:type="pct"/>
            <w:tcBorders>
              <w:top w:val="nil"/>
              <w:left w:val="nil"/>
              <w:bottom w:val="single" w:color="000000" w:sz="8"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8~10</w:t>
            </w:r>
            <w:commentRangeEnd w:id="9"/>
            <w:r>
              <w:rPr>
                <w:b/>
                <w:bCs/>
              </w:rPr>
              <w:commentReference w:id="9"/>
            </w:r>
          </w:p>
        </w:tc>
      </w:tr>
    </w:tbl>
    <w:p>
      <w:pPr>
        <w:pStyle w:val="8"/>
        <w:keepNext w:val="0"/>
        <w:keepLines w:val="0"/>
        <w:pageBreakBefore w:val="0"/>
        <w:kinsoku/>
        <w:wordWrap/>
        <w:overflowPunct/>
        <w:topLinePunct w:val="0"/>
        <w:autoSpaceDE/>
        <w:autoSpaceDN/>
        <w:bidi w:val="0"/>
        <w:adjustRightInd/>
        <w:snapToGrid/>
        <w:spacing w:line="400" w:lineRule="exact"/>
        <w:ind w:firstLine="0" w:firstLineChars="0"/>
        <w:rPr>
          <w:rFonts w:hint="eastAsia" w:ascii="仿宋" w:hAnsi="仿宋" w:eastAsia="仿宋" w:cs="仿宋"/>
          <w:sz w:val="21"/>
          <w:szCs w:val="21"/>
        </w:rPr>
      </w:pPr>
      <w:commentRangeStart w:id="10"/>
      <w:r>
        <w:rPr>
          <w:rFonts w:hint="eastAsia" w:ascii="仿宋" w:hAnsi="仿宋" w:eastAsia="仿宋" w:cs="仿宋"/>
          <w:b/>
          <w:sz w:val="21"/>
          <w:szCs w:val="21"/>
        </w:rPr>
        <w:t>备注：学生成长教育课是为践行社会主义核心价值观，增强学生成长的自我推动力的一系列课程，由学生处统筹各院系组织完成。将专业教育与学生成长教育充分融合，形成复合型高素质创新性应用人才的培养体系、培养机制和培养模式。</w:t>
      </w:r>
      <w:commentRangeEnd w:id="10"/>
      <w:r>
        <w:rPr>
          <w:rFonts w:hint="eastAsia" w:ascii="仿宋" w:hAnsi="仿宋" w:eastAsia="仿宋" w:cs="仿宋"/>
          <w:sz w:val="21"/>
          <w:szCs w:val="21"/>
        </w:rPr>
        <w:commentReference w:id="10"/>
      </w:r>
    </w:p>
    <w:p>
      <w:pPr>
        <w:pStyle w:val="20"/>
        <w:bidi w:val="0"/>
        <w:ind w:left="482" w:firstLine="0"/>
      </w:pPr>
      <w:r>
        <w:t>（一）毕业条件</w:t>
      </w:r>
    </w:p>
    <w:p>
      <w:pPr>
        <w:pStyle w:val="21"/>
        <w:bidi w:val="0"/>
      </w:pPr>
      <w:r>
        <w:t>学生申请以法语专业毕业，须符合以下全部条件后，才准予毕业，并发给毕业证书：</w:t>
      </w:r>
    </w:p>
    <w:p>
      <w:pPr>
        <w:pStyle w:val="21"/>
        <w:bidi w:val="0"/>
      </w:pPr>
      <w:r>
        <w:t>1.在学院允许的学习年限内，即3~7年。</w:t>
      </w:r>
    </w:p>
    <w:p>
      <w:pPr>
        <w:pStyle w:val="21"/>
        <w:bidi w:val="0"/>
      </w:pPr>
      <w:r>
        <w:t>2.取得法语专业规定的最低毕业总学分150+</w:t>
      </w:r>
      <w:r>
        <w:rPr>
          <w:rFonts w:hint="eastAsia"/>
          <w:lang w:val="en-US" w:eastAsia="zh-CN"/>
        </w:rPr>
        <w:t>(8~10)</w:t>
      </w:r>
      <w:r>
        <w:t>学分，其中：</w:t>
      </w:r>
    </w:p>
    <w:p>
      <w:pPr>
        <w:pStyle w:val="21"/>
        <w:bidi w:val="0"/>
      </w:pPr>
      <w:r>
        <w:t>公共必修课24学分；公共选修课15学分；专业必修课5</w:t>
      </w:r>
      <w:r>
        <w:rPr>
          <w:rFonts w:hint="eastAsia"/>
        </w:rPr>
        <w:t>9</w:t>
      </w:r>
      <w:r>
        <w:t>学分</w:t>
      </w:r>
      <w:r>
        <w:rPr>
          <w:rFonts w:hint="eastAsia"/>
        </w:rPr>
        <w:t>，其中专业实习3学分，毕业论文/设计4学分</w:t>
      </w:r>
      <w:r>
        <w:t>；专业选修课</w:t>
      </w:r>
      <w:r>
        <w:rPr>
          <w:rFonts w:hint="eastAsia"/>
        </w:rPr>
        <w:t>45</w:t>
      </w:r>
      <w:r>
        <w:t>学分</w:t>
      </w:r>
      <w:r>
        <w:rPr>
          <w:rFonts w:hint="eastAsia"/>
        </w:rPr>
        <w:t>，成长</w:t>
      </w:r>
      <w:r>
        <w:rPr>
          <w:rFonts w:hint="eastAsia"/>
          <w:lang w:val="en-US" w:eastAsia="zh-CN"/>
        </w:rPr>
        <w:t>教育</w:t>
      </w:r>
      <w:r>
        <w:rPr>
          <w:rFonts w:hint="eastAsia"/>
        </w:rPr>
        <w:t>课7</w:t>
      </w:r>
      <w:r>
        <w:rPr>
          <w:rFonts w:hint="eastAsia"/>
          <w:lang w:val="en-US" w:eastAsia="zh-CN"/>
        </w:rPr>
        <w:t>+(8~10)</w:t>
      </w:r>
      <w:r>
        <w:rPr>
          <w:rFonts w:hint="eastAsia"/>
        </w:rPr>
        <w:t>学分</w:t>
      </w:r>
      <w:r>
        <w:rPr>
          <w:rFonts w:hint="eastAsia"/>
          <w:lang w:eastAsia="zh-CN"/>
        </w:rPr>
        <w:t>，</w:t>
      </w:r>
      <w:r>
        <w:rPr>
          <w:rFonts w:hint="eastAsia"/>
        </w:rPr>
        <w:t>“+（8~10）”为8~10学分的学生成长教育课程学分，学生毕业须修满6学分的学生成长教育必修课，2学分的学生成长教育选修课;优秀毕业生，须修满6学分的学生成长教育必修课，还须修满4学分的学生成长教育选修课。</w:t>
      </w:r>
    </w:p>
    <w:p>
      <w:pPr>
        <w:pStyle w:val="20"/>
        <w:bidi w:val="0"/>
        <w:ind w:left="482" w:firstLine="0"/>
      </w:pPr>
      <w:r>
        <w:t>（二）获得学位</w:t>
      </w:r>
    </w:p>
    <w:p>
      <w:pPr>
        <w:pStyle w:val="21"/>
        <w:bidi w:val="0"/>
      </w:pPr>
      <w:r>
        <w:t>普通全日制本科生在取得毕业资格的前提下，按现行的绩点制，其必修课、专业选修课的</w:t>
      </w:r>
      <w:commentRangeStart w:id="11"/>
      <w:r>
        <w:rPr>
          <w:color w:val="auto"/>
        </w:rPr>
        <w:t>平均学分绩点达到</w:t>
      </w:r>
      <w:r>
        <w:rPr>
          <w:rFonts w:hint="eastAsia"/>
          <w:color w:val="auto"/>
          <w:lang w:val="en-US" w:eastAsia="zh-CN"/>
        </w:rPr>
        <w:t>2.0</w:t>
      </w:r>
      <w:r>
        <w:rPr>
          <w:color w:val="auto"/>
        </w:rPr>
        <w:t>及以上者</w:t>
      </w:r>
      <w:commentRangeEnd w:id="11"/>
      <w:r>
        <w:rPr>
          <w:color w:val="FF0000"/>
        </w:rPr>
        <w:commentReference w:id="11"/>
      </w:r>
      <w:r>
        <w:t>，可授予</w:t>
      </w:r>
      <w:r>
        <w:rPr>
          <w:rFonts w:hint="eastAsia"/>
          <w:lang w:val="en-US" w:eastAsia="zh-CN"/>
        </w:rPr>
        <w:t>文学</w:t>
      </w:r>
      <w:r>
        <w:t>学士学位。</w:t>
      </w:r>
    </w:p>
    <w:p>
      <w:pPr>
        <w:pStyle w:val="4"/>
        <w:bidi w:val="0"/>
        <w:rPr>
          <w:rFonts w:hint="default"/>
          <w:lang w:val="en-US" w:eastAsia="zh-CN"/>
        </w:rPr>
      </w:pPr>
      <w:commentRangeStart w:id="12"/>
      <w:r>
        <w:t>五、</w:t>
      </w:r>
      <w:r>
        <w:rPr>
          <w:rFonts w:hint="eastAsia"/>
          <w:lang w:val="en-US" w:eastAsia="zh-CN"/>
        </w:rPr>
        <w:t>课</w:t>
      </w:r>
      <w:r>
        <w:t>程计划进程表</w:t>
      </w:r>
      <w:commentRangeEnd w:id="12"/>
      <w:r>
        <w:commentReference w:id="12"/>
      </w:r>
    </w:p>
    <w:p>
      <w:pPr>
        <w:pStyle w:val="8"/>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b w:val="0"/>
          <w:bCs w:val="0"/>
          <w:color w:val="FF0000"/>
          <w:sz w:val="24"/>
          <w:szCs w:val="24"/>
        </w:rPr>
      </w:pPr>
      <w:commentRangeStart w:id="13"/>
      <w:r>
        <w:rPr>
          <w:rFonts w:hint="eastAsia" w:ascii="楷体" w:hAnsi="楷体" w:eastAsia="楷体" w:cs="楷体"/>
          <w:b w:val="0"/>
          <w:bCs w:val="0"/>
          <w:color w:val="auto"/>
          <w:sz w:val="24"/>
          <w:szCs w:val="24"/>
        </w:rPr>
        <w:t>请详见表一。</w:t>
      </w:r>
      <w:commentRangeEnd w:id="13"/>
      <w:r>
        <w:rPr>
          <w:b w:val="0"/>
          <w:bCs w:val="0"/>
        </w:rPr>
        <w:commentReference w:id="13"/>
      </w:r>
    </w:p>
    <w:p>
      <w:pPr>
        <w:pStyle w:val="4"/>
        <w:bidi w:val="0"/>
        <w:rPr>
          <w:rFonts w:hint="eastAsia"/>
          <w:lang w:val="en-US" w:eastAsia="zh-CN"/>
        </w:rPr>
      </w:pPr>
      <w:r>
        <w:rPr>
          <w:rFonts w:hint="eastAsia"/>
          <w:lang w:val="en-US" w:eastAsia="zh-CN"/>
        </w:rPr>
        <w:t>六、辅修课程、辅修专业、辅修专业学位课程计划进程表</w:t>
      </w:r>
    </w:p>
    <w:p>
      <w:pPr>
        <w:pStyle w:val="8"/>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请详见表</w:t>
      </w:r>
      <w:r>
        <w:rPr>
          <w:rFonts w:hint="eastAsia" w:ascii="楷体" w:hAnsi="楷体" w:eastAsia="楷体" w:cs="楷体"/>
          <w:b w:val="0"/>
          <w:bCs w:val="0"/>
          <w:color w:val="auto"/>
          <w:sz w:val="24"/>
          <w:szCs w:val="24"/>
          <w:lang w:val="en-US" w:eastAsia="zh-CN"/>
        </w:rPr>
        <w:t>二</w:t>
      </w:r>
      <w:r>
        <w:rPr>
          <w:rFonts w:hint="eastAsia" w:ascii="楷体" w:hAnsi="楷体" w:eastAsia="楷体" w:cs="楷体"/>
          <w:b w:val="0"/>
          <w:bCs w:val="0"/>
          <w:color w:val="auto"/>
          <w:sz w:val="24"/>
          <w:szCs w:val="24"/>
        </w:rPr>
        <w:t>。</w:t>
      </w:r>
    </w:p>
    <w:p>
      <w:pPr>
        <w:pStyle w:val="20"/>
        <w:bidi w:val="0"/>
        <w:ind w:left="482" w:firstLine="0"/>
      </w:pPr>
      <w:r>
        <w:rPr>
          <w:rFonts w:hint="eastAsia"/>
          <w:lang w:val="en-US" w:eastAsia="zh-CN"/>
        </w:rPr>
        <w:t xml:space="preserve"> </w:t>
      </w:r>
      <w:r>
        <w:rPr>
          <w:lang w:val="en-US" w:eastAsia="zh-CN"/>
        </w:rPr>
        <w:t>（一）辅修课程</w:t>
      </w:r>
    </w:p>
    <w:p>
      <w:pPr>
        <w:pStyle w:val="21"/>
        <w:bidi w:val="0"/>
      </w:pPr>
      <w:r>
        <w:t>辅修课程是指修满</w:t>
      </w:r>
      <w:r>
        <w:rPr>
          <w:rFonts w:hint="eastAsia"/>
        </w:rPr>
        <w:t>法语</w:t>
      </w:r>
      <w:r>
        <w:t>专业辅修</w:t>
      </w:r>
      <w:r>
        <w:rPr>
          <w:rFonts w:hint="eastAsia"/>
        </w:rPr>
        <w:t>课程</w:t>
      </w:r>
      <w:r>
        <w:t>教学计划规定的</w:t>
      </w:r>
      <w:r>
        <w:rPr>
          <w:rFonts w:hint="eastAsia"/>
        </w:rPr>
        <w:t>30</w:t>
      </w:r>
      <w:r>
        <w:t>学分，其中</w:t>
      </w:r>
      <w:r>
        <w:rPr>
          <w:rFonts w:hint="eastAsia"/>
        </w:rPr>
        <w:t>必修课30学分</w:t>
      </w:r>
      <w:r>
        <w:t>，可以取得</w:t>
      </w:r>
      <w:r>
        <w:rPr>
          <w:rFonts w:hint="eastAsia"/>
        </w:rPr>
        <w:t>法语</w:t>
      </w:r>
      <w:r>
        <w:t>专业辅修证明书；</w:t>
      </w:r>
    </w:p>
    <w:p>
      <w:pPr>
        <w:pStyle w:val="21"/>
        <w:bidi w:val="0"/>
      </w:pPr>
      <w:r>
        <w:rPr>
          <w:rFonts w:hint="eastAsia"/>
        </w:rPr>
        <w:t>法语</w:t>
      </w:r>
      <w:r>
        <w:t>专业辅修课程人才培养方案详见分表一。</w:t>
      </w:r>
    </w:p>
    <w:p>
      <w:pPr>
        <w:pStyle w:val="20"/>
        <w:bidi w:val="0"/>
        <w:ind w:left="482" w:firstLine="0"/>
      </w:pPr>
      <w:r>
        <w:t>（二）辅修专业</w:t>
      </w:r>
    </w:p>
    <w:p>
      <w:pPr>
        <w:pStyle w:val="21"/>
        <w:bidi w:val="0"/>
      </w:pPr>
      <w:r>
        <w:t>辅修专业是指修满</w:t>
      </w:r>
      <w:r>
        <w:rPr>
          <w:rFonts w:hint="eastAsia"/>
        </w:rPr>
        <w:t>法语</w:t>
      </w:r>
      <w:r>
        <w:t>专业辅修教学计划规定的</w:t>
      </w:r>
      <w:r>
        <w:rPr>
          <w:rFonts w:hint="eastAsia"/>
        </w:rPr>
        <w:t>50</w:t>
      </w:r>
      <w:r>
        <w:t>学分，其中</w:t>
      </w:r>
      <w:r>
        <w:rPr>
          <w:rFonts w:hint="eastAsia"/>
        </w:rPr>
        <w:t>必修课50学分，</w:t>
      </w:r>
      <w:r>
        <w:t>可以取得</w:t>
      </w:r>
      <w:r>
        <w:rPr>
          <w:rFonts w:hint="eastAsia"/>
        </w:rPr>
        <w:t>法语</w:t>
      </w:r>
      <w:r>
        <w:t>专业的辅修毕业资格。</w:t>
      </w:r>
    </w:p>
    <w:p>
      <w:pPr>
        <w:pStyle w:val="21"/>
        <w:bidi w:val="0"/>
      </w:pPr>
      <w:r>
        <w:rPr>
          <w:rFonts w:hint="eastAsia"/>
        </w:rPr>
        <w:t>法语</w:t>
      </w:r>
      <w:r>
        <w:t>专业辅修专业人才培养方案详见分表二。</w:t>
      </w:r>
    </w:p>
    <w:p>
      <w:pPr>
        <w:pStyle w:val="20"/>
        <w:bidi w:val="0"/>
        <w:ind w:left="482" w:firstLine="0"/>
      </w:pPr>
      <w:r>
        <w:t>（三）辅修专业学位</w:t>
      </w:r>
    </w:p>
    <w:p>
      <w:pPr>
        <w:pStyle w:val="21"/>
        <w:bidi w:val="0"/>
      </w:pPr>
      <w:r>
        <w:t>辅修专业学位</w:t>
      </w:r>
      <w:r>
        <w:rPr>
          <w:rFonts w:hint="eastAsia"/>
        </w:rPr>
        <w:t>规定，学生原主修专业与计划进行辅修专业学位的专业不能属于同一学科门类。在此前提下，非本学科门类专业学生</w:t>
      </w:r>
      <w:r>
        <w:t>修满</w:t>
      </w:r>
      <w:r>
        <w:rPr>
          <w:rFonts w:hint="eastAsia"/>
        </w:rPr>
        <w:t>本</w:t>
      </w:r>
      <w:r>
        <w:t>专业辅修</w:t>
      </w:r>
      <w:r>
        <w:rPr>
          <w:rFonts w:hint="eastAsia"/>
        </w:rPr>
        <w:t>专业学位</w:t>
      </w:r>
      <w:r>
        <w:t>教学计划中规定的</w:t>
      </w:r>
      <w:r>
        <w:rPr>
          <w:rFonts w:hint="eastAsia"/>
        </w:rPr>
        <w:t>60</w:t>
      </w:r>
      <w:r>
        <w:t>学分，其中必修课</w:t>
      </w:r>
      <w:r>
        <w:rPr>
          <w:rFonts w:hint="eastAsia"/>
        </w:rPr>
        <w:t>60</w:t>
      </w:r>
      <w:r>
        <w:t>学分</w:t>
      </w:r>
      <w:r>
        <w:rPr>
          <w:rFonts w:hint="eastAsia"/>
        </w:rPr>
        <w:t>，</w:t>
      </w:r>
      <w:r>
        <w:t>且符合两个专业要求的学位授予条件，在取得主修专业学士学位的同时，可同时取得</w:t>
      </w:r>
      <w:r>
        <w:rPr>
          <w:rFonts w:hint="eastAsia"/>
        </w:rPr>
        <w:t>文学</w:t>
      </w:r>
      <w:r>
        <w:t>学士学位。</w:t>
      </w:r>
    </w:p>
    <w:p>
      <w:pPr>
        <w:pStyle w:val="21"/>
        <w:bidi w:val="0"/>
      </w:pPr>
      <w:r>
        <w:rPr>
          <w:rFonts w:hint="eastAsia"/>
        </w:rPr>
        <w:t>法语</w:t>
      </w:r>
      <w:r>
        <w:t>专业辅修专业学位人才培养方案详见分表三。</w:t>
      </w:r>
    </w:p>
    <w:p>
      <w:pPr>
        <w:pStyle w:val="7"/>
        <w:rPr>
          <w:rFonts w:hint="default" w:ascii="Times New Roman" w:hAnsi="Times New Roman" w:eastAsia="仿宋" w:cs="Times New Roman"/>
          <w:b/>
          <w:color w:val="FF0000"/>
          <w:sz w:val="24"/>
          <w:szCs w:val="24"/>
          <w:lang w:val="en-US" w:eastAsia="zh-CN"/>
        </w:rPr>
      </w:pPr>
      <w:r>
        <w:rPr>
          <w:rFonts w:hint="eastAsia" w:ascii="Times New Roman" w:hAnsi="Times New Roman" w:eastAsia="仿宋" w:cs="Times New Roman"/>
          <w:b/>
          <w:color w:val="FF0000"/>
          <w:sz w:val="24"/>
          <w:szCs w:val="24"/>
          <w:lang w:val="en-US" w:eastAsia="zh-CN"/>
        </w:rPr>
        <w:t>注：学业指南中的培养方案课程计划表和学生成长教育课程计划进程表（表一）改名为课程计划表（表一），不需要列出学生成长教育课程计划进程表、各学期学分分配表、理论实践教学学时占比一览表和三实课程教学环节一览表，有辅修的专业需要列出辅修计划进程表。</w:t>
      </w:r>
    </w:p>
    <w:p>
      <w:pPr>
        <w:pStyle w:val="20"/>
        <w:bidi w:val="0"/>
        <w:ind w:left="0" w:leftChars="0" w:firstLine="0" w:firstLineChars="0"/>
        <w:rPr>
          <w:rFonts w:hint="eastAsia"/>
          <w:lang w:val="en-US" w:eastAsia="zh-CN"/>
        </w:rPr>
      </w:pPr>
      <w:commentRangeStart w:id="14"/>
      <w:r>
        <w:rPr>
          <w:rFonts w:hint="eastAsia"/>
          <w:lang w:val="en-US" w:eastAsia="zh-CN"/>
        </w:rPr>
        <w:t>表一</w:t>
      </w:r>
      <w:commentRangeEnd w:id="14"/>
      <w:r>
        <w:commentReference w:id="14"/>
      </w:r>
    </w:p>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宋体" w:hAnsi="宋体" w:eastAsia="宋体" w:cs="宋体"/>
          <w:b/>
          <w:bCs/>
          <w:sz w:val="21"/>
          <w:szCs w:val="21"/>
        </w:rPr>
      </w:pPr>
      <w:commentRangeStart w:id="15"/>
      <w:r>
        <w:rPr>
          <w:rFonts w:hint="eastAsia" w:ascii="宋体" w:hAnsi="宋体" w:eastAsia="宋体" w:cs="宋体"/>
          <w:b/>
          <w:bCs/>
          <w:sz w:val="21"/>
          <w:szCs w:val="21"/>
          <w:lang w:val="en-US" w:eastAsia="zh-CN"/>
        </w:rPr>
        <w:t>课</w:t>
      </w:r>
      <w:r>
        <w:rPr>
          <w:rFonts w:hint="eastAsia" w:ascii="宋体" w:hAnsi="宋体" w:eastAsia="宋体" w:cs="宋体"/>
          <w:b/>
          <w:bCs/>
          <w:sz w:val="21"/>
          <w:szCs w:val="21"/>
        </w:rPr>
        <w:t>程计划进程表</w:t>
      </w:r>
      <w:commentRangeEnd w:id="15"/>
      <w:r>
        <w:rPr>
          <w:rFonts w:hint="eastAsia" w:ascii="宋体" w:hAnsi="宋体" w:eastAsia="宋体" w:cs="宋体"/>
          <w:sz w:val="21"/>
          <w:szCs w:val="21"/>
        </w:rPr>
        <w:commentReference w:id="15"/>
      </w:r>
    </w:p>
    <w:tbl>
      <w:tblPr>
        <w:tblStyle w:val="1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6"/>
        <w:gridCol w:w="372"/>
        <w:gridCol w:w="460"/>
        <w:gridCol w:w="1500"/>
        <w:gridCol w:w="1564"/>
        <w:gridCol w:w="508"/>
        <w:gridCol w:w="553"/>
        <w:gridCol w:w="530"/>
        <w:gridCol w:w="534"/>
        <w:gridCol w:w="463"/>
        <w:gridCol w:w="432"/>
        <w:gridCol w:w="440"/>
        <w:gridCol w:w="458"/>
        <w:gridCol w:w="436"/>
        <w:gridCol w:w="425"/>
        <w:gridCol w:w="401"/>
        <w:gridCol w:w="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tblHeader/>
          <w:jc w:val="center"/>
        </w:trPr>
        <w:tc>
          <w:tcPr>
            <w:tcW w:w="374" w:type="pct"/>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left="0" w:firstLine="0" w:firstLineChars="0"/>
              <w:jc w:val="center"/>
              <w:textAlignment w:val="center"/>
              <w:rPr>
                <w:rFonts w:hint="default" w:ascii="Times New Roman" w:hAnsi="Times New Roman" w:eastAsia="楷体" w:cs="Times New Roman"/>
                <w:b/>
                <w:bCs/>
                <w:i w:val="0"/>
                <w:iCs w:val="0"/>
                <w:color w:val="000000"/>
                <w:sz w:val="21"/>
                <w:szCs w:val="21"/>
                <w:u w:val="none"/>
              </w:rPr>
            </w:pPr>
            <w:r>
              <w:rPr>
                <w:rFonts w:hint="default" w:ascii="Times New Roman" w:hAnsi="Times New Roman" w:eastAsia="楷体" w:cs="Times New Roman"/>
                <w:b/>
                <w:bCs/>
                <w:i w:val="0"/>
                <w:iCs w:val="0"/>
                <w:color w:val="000000"/>
                <w:kern w:val="0"/>
                <w:sz w:val="21"/>
                <w:szCs w:val="21"/>
                <w:u w:val="none"/>
                <w:lang w:val="en-US" w:eastAsia="zh-CN" w:bidi="ar"/>
              </w:rPr>
              <w:t>课程性质</w:t>
            </w:r>
          </w:p>
        </w:tc>
        <w:tc>
          <w:tcPr>
            <w:tcW w:w="233"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left="0" w:firstLine="0" w:firstLineChars="0"/>
              <w:jc w:val="center"/>
              <w:textAlignment w:val="center"/>
              <w:rPr>
                <w:rFonts w:hint="default" w:ascii="Times New Roman" w:hAnsi="Times New Roman" w:eastAsia="楷体" w:cs="Times New Roman"/>
                <w:b/>
                <w:bCs/>
                <w:i w:val="0"/>
                <w:iCs w:val="0"/>
                <w:color w:val="000000"/>
                <w:sz w:val="21"/>
                <w:szCs w:val="21"/>
                <w:u w:val="none"/>
              </w:rPr>
            </w:pPr>
            <w:r>
              <w:rPr>
                <w:rFonts w:hint="default" w:ascii="Times New Roman" w:hAnsi="Times New Roman" w:eastAsia="楷体" w:cs="Times New Roman"/>
                <w:b/>
                <w:bCs/>
                <w:i w:val="0"/>
                <w:iCs w:val="0"/>
                <w:color w:val="000000"/>
                <w:kern w:val="0"/>
                <w:sz w:val="21"/>
                <w:szCs w:val="21"/>
                <w:u w:val="none"/>
                <w:lang w:val="en-US" w:eastAsia="zh-CN" w:bidi="ar"/>
              </w:rPr>
              <w:t>学分修读要求</w:t>
            </w:r>
          </w:p>
        </w:tc>
        <w:tc>
          <w:tcPr>
            <w:tcW w:w="761"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left="0" w:firstLine="0" w:firstLineChars="0"/>
              <w:jc w:val="center"/>
              <w:textAlignment w:val="center"/>
              <w:rPr>
                <w:rFonts w:hint="default" w:ascii="Times New Roman" w:hAnsi="Times New Roman" w:eastAsia="楷体" w:cs="Times New Roman"/>
                <w:b/>
                <w:bCs/>
                <w:i w:val="0"/>
                <w:iCs w:val="0"/>
                <w:color w:val="000000"/>
                <w:sz w:val="21"/>
                <w:szCs w:val="21"/>
                <w:u w:val="none"/>
              </w:rPr>
            </w:pPr>
            <w:r>
              <w:rPr>
                <w:rFonts w:hint="default" w:ascii="Times New Roman" w:hAnsi="Times New Roman" w:eastAsia="楷体" w:cs="Times New Roman"/>
                <w:b/>
                <w:bCs/>
                <w:i w:val="0"/>
                <w:iCs w:val="0"/>
                <w:color w:val="000000"/>
                <w:kern w:val="0"/>
                <w:sz w:val="21"/>
                <w:szCs w:val="21"/>
                <w:u w:val="none"/>
                <w:lang w:val="en-US" w:eastAsia="zh-CN" w:bidi="ar"/>
              </w:rPr>
              <w:t>课程中文名称</w:t>
            </w:r>
          </w:p>
        </w:tc>
        <w:tc>
          <w:tcPr>
            <w:tcW w:w="793"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left="0" w:firstLine="0" w:firstLineChars="0"/>
              <w:jc w:val="center"/>
              <w:textAlignment w:val="center"/>
              <w:rPr>
                <w:rFonts w:hint="default" w:ascii="Times New Roman" w:hAnsi="Times New Roman" w:eastAsia="楷体" w:cs="Times New Roman"/>
                <w:b/>
                <w:bCs/>
                <w:i w:val="0"/>
                <w:iCs w:val="0"/>
                <w:color w:val="000000"/>
                <w:sz w:val="21"/>
                <w:szCs w:val="21"/>
                <w:u w:val="none"/>
              </w:rPr>
            </w:pPr>
            <w:r>
              <w:rPr>
                <w:rFonts w:hint="default" w:ascii="Times New Roman" w:hAnsi="Times New Roman" w:eastAsia="楷体" w:cs="Times New Roman"/>
                <w:b/>
                <w:bCs/>
                <w:i w:val="0"/>
                <w:iCs w:val="0"/>
                <w:color w:val="000000"/>
                <w:kern w:val="0"/>
                <w:sz w:val="21"/>
                <w:szCs w:val="21"/>
                <w:u w:val="none"/>
                <w:lang w:val="en-US" w:eastAsia="zh-CN" w:bidi="ar"/>
              </w:rPr>
              <w:t>课程英文名称</w:t>
            </w:r>
          </w:p>
        </w:tc>
        <w:tc>
          <w:tcPr>
            <w:tcW w:w="1078" w:type="pct"/>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left="0" w:firstLine="0" w:firstLineChars="0"/>
              <w:jc w:val="center"/>
              <w:textAlignment w:val="center"/>
              <w:rPr>
                <w:rFonts w:hint="default" w:ascii="Times New Roman" w:hAnsi="Times New Roman" w:eastAsia="楷体" w:cs="Times New Roman"/>
                <w:b/>
                <w:bCs/>
                <w:i w:val="0"/>
                <w:iCs w:val="0"/>
                <w:color w:val="000000"/>
                <w:sz w:val="21"/>
                <w:szCs w:val="21"/>
                <w:u w:val="none"/>
              </w:rPr>
            </w:pPr>
            <w:r>
              <w:rPr>
                <w:rFonts w:hint="default" w:ascii="Times New Roman" w:hAnsi="Times New Roman" w:eastAsia="楷体" w:cs="Times New Roman"/>
                <w:b/>
                <w:bCs/>
                <w:i w:val="0"/>
                <w:iCs w:val="0"/>
                <w:color w:val="000000"/>
                <w:kern w:val="0"/>
                <w:sz w:val="21"/>
                <w:szCs w:val="21"/>
                <w:u w:val="none"/>
                <w:lang w:val="en-US" w:eastAsia="zh-CN" w:bidi="ar"/>
              </w:rPr>
              <w:t>课程学分、学时分配</w:t>
            </w:r>
          </w:p>
        </w:tc>
        <w:tc>
          <w:tcPr>
            <w:tcW w:w="1759" w:type="pct"/>
            <w:gridSpan w:val="8"/>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left="0" w:firstLine="0" w:firstLineChars="0"/>
              <w:jc w:val="center"/>
              <w:textAlignment w:val="center"/>
              <w:rPr>
                <w:rFonts w:hint="default" w:ascii="Times New Roman" w:hAnsi="Times New Roman" w:eastAsia="楷体" w:cs="Times New Roman"/>
                <w:b/>
                <w:bCs/>
                <w:i w:val="0"/>
                <w:iCs w:val="0"/>
                <w:color w:val="000000"/>
                <w:sz w:val="21"/>
                <w:szCs w:val="21"/>
                <w:u w:val="none"/>
              </w:rPr>
            </w:pPr>
            <w:r>
              <w:rPr>
                <w:rFonts w:hint="default" w:ascii="Times New Roman" w:hAnsi="Times New Roman" w:eastAsia="楷体" w:cs="Times New Roman"/>
                <w:b/>
                <w:bCs/>
                <w:i w:val="0"/>
                <w:iCs w:val="0"/>
                <w:color w:val="000000"/>
                <w:kern w:val="0"/>
                <w:sz w:val="21"/>
                <w:szCs w:val="21"/>
                <w:u w:val="none"/>
                <w:lang w:val="en-US" w:eastAsia="zh-CN" w:bidi="ar"/>
              </w:rPr>
              <w:t>各学年、学期每周课内学时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9" w:hRule="atLeast"/>
          <w:tblHeader/>
          <w:jc w:val="center"/>
        </w:trPr>
        <w:tc>
          <w:tcPr>
            <w:tcW w:w="374" w:type="pct"/>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left="0" w:firstLine="0" w:firstLineChars="0"/>
              <w:jc w:val="center"/>
              <w:rPr>
                <w:rFonts w:hint="default" w:ascii="Times New Roman" w:hAnsi="Times New Roman" w:eastAsia="楷体" w:cs="Times New Roman"/>
                <w:b/>
                <w:bCs/>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left="0" w:firstLine="0" w:firstLineChars="0"/>
              <w:jc w:val="center"/>
              <w:rPr>
                <w:rFonts w:hint="default" w:ascii="Times New Roman" w:hAnsi="Times New Roman" w:eastAsia="楷体" w:cs="Times New Roman"/>
                <w:b/>
                <w:bCs/>
                <w:i w:val="0"/>
                <w:iCs w:val="0"/>
                <w:color w:val="000000"/>
                <w:sz w:val="21"/>
                <w:szCs w:val="21"/>
                <w:u w:val="none"/>
              </w:rPr>
            </w:pPr>
          </w:p>
        </w:tc>
        <w:tc>
          <w:tcPr>
            <w:tcW w:w="76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left="0" w:firstLine="0" w:firstLineChars="0"/>
              <w:jc w:val="center"/>
              <w:rPr>
                <w:rFonts w:hint="default" w:ascii="Times New Roman" w:hAnsi="Times New Roman" w:eastAsia="楷体" w:cs="Times New Roman"/>
                <w:b/>
                <w:bCs/>
                <w:i w:val="0"/>
                <w:iCs w:val="0"/>
                <w:color w:val="000000"/>
                <w:sz w:val="21"/>
                <w:szCs w:val="21"/>
                <w:u w:val="none"/>
              </w:rPr>
            </w:pPr>
          </w:p>
        </w:tc>
        <w:tc>
          <w:tcPr>
            <w:tcW w:w="79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left="0" w:firstLine="0" w:firstLineChars="0"/>
              <w:jc w:val="center"/>
              <w:rPr>
                <w:rFonts w:hint="default" w:ascii="Times New Roman" w:hAnsi="Times New Roman" w:eastAsia="楷体" w:cs="Times New Roman"/>
                <w:b/>
                <w:bCs/>
                <w:i w:val="0"/>
                <w:iCs w:val="0"/>
                <w:color w:val="000000"/>
                <w:sz w:val="21"/>
                <w:szCs w:val="21"/>
                <w:u w:val="none"/>
              </w:rPr>
            </w:pPr>
          </w:p>
        </w:tc>
        <w:tc>
          <w:tcPr>
            <w:tcW w:w="257"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left="0" w:firstLine="0" w:firstLineChars="0"/>
              <w:jc w:val="center"/>
              <w:textAlignment w:val="center"/>
              <w:rPr>
                <w:rFonts w:hint="default" w:ascii="Times New Roman" w:hAnsi="Times New Roman" w:eastAsia="楷体" w:cs="Times New Roman"/>
                <w:b/>
                <w:bCs/>
                <w:i w:val="0"/>
                <w:iCs w:val="0"/>
                <w:color w:val="000000"/>
                <w:sz w:val="21"/>
                <w:szCs w:val="21"/>
                <w:u w:val="none"/>
              </w:rPr>
            </w:pPr>
            <w:r>
              <w:rPr>
                <w:rFonts w:hint="default" w:ascii="Times New Roman" w:hAnsi="Times New Roman" w:eastAsia="楷体" w:cs="Times New Roman"/>
                <w:b/>
                <w:bCs/>
                <w:i w:val="0"/>
                <w:iCs w:val="0"/>
                <w:color w:val="000000"/>
                <w:kern w:val="0"/>
                <w:sz w:val="21"/>
                <w:szCs w:val="21"/>
                <w:u w:val="none"/>
                <w:lang w:val="en-US" w:eastAsia="zh-CN" w:bidi="ar"/>
              </w:rPr>
              <w:t>学分</w:t>
            </w:r>
          </w:p>
        </w:tc>
        <w:tc>
          <w:tcPr>
            <w:tcW w:w="280"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left="0" w:firstLine="0" w:firstLineChars="0"/>
              <w:jc w:val="center"/>
              <w:textAlignment w:val="center"/>
              <w:rPr>
                <w:rFonts w:hint="default" w:ascii="Times New Roman" w:hAnsi="Times New Roman" w:eastAsia="楷体" w:cs="Times New Roman"/>
                <w:b/>
                <w:bCs/>
                <w:i w:val="0"/>
                <w:iCs w:val="0"/>
                <w:color w:val="000000"/>
                <w:sz w:val="21"/>
                <w:szCs w:val="21"/>
                <w:u w:val="none"/>
              </w:rPr>
            </w:pPr>
            <w:r>
              <w:rPr>
                <w:rFonts w:hint="default" w:ascii="Times New Roman" w:hAnsi="Times New Roman" w:eastAsia="楷体" w:cs="Times New Roman"/>
                <w:b/>
                <w:bCs/>
                <w:i w:val="0"/>
                <w:iCs w:val="0"/>
                <w:color w:val="000000"/>
                <w:kern w:val="0"/>
                <w:sz w:val="21"/>
                <w:szCs w:val="21"/>
                <w:u w:val="none"/>
                <w:lang w:val="en-US" w:eastAsia="zh-CN" w:bidi="ar"/>
              </w:rPr>
              <w:t>总学时</w:t>
            </w:r>
          </w:p>
        </w:tc>
        <w:tc>
          <w:tcPr>
            <w:tcW w:w="26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left="0" w:firstLine="0" w:firstLineChars="0"/>
              <w:jc w:val="center"/>
              <w:textAlignment w:val="center"/>
              <w:rPr>
                <w:rFonts w:hint="default" w:ascii="Times New Roman" w:hAnsi="Times New Roman" w:eastAsia="楷体" w:cs="Times New Roman"/>
                <w:b/>
                <w:bCs/>
                <w:i w:val="0"/>
                <w:iCs w:val="0"/>
                <w:color w:val="000000"/>
                <w:sz w:val="21"/>
                <w:szCs w:val="21"/>
                <w:u w:val="none"/>
              </w:rPr>
            </w:pPr>
            <w:r>
              <w:rPr>
                <w:rFonts w:hint="default" w:ascii="Times New Roman" w:hAnsi="Times New Roman" w:eastAsia="楷体" w:cs="Times New Roman"/>
                <w:b/>
                <w:bCs/>
                <w:i w:val="0"/>
                <w:iCs w:val="0"/>
                <w:color w:val="000000"/>
                <w:kern w:val="0"/>
                <w:sz w:val="21"/>
                <w:szCs w:val="21"/>
                <w:u w:val="none"/>
                <w:lang w:val="en-US" w:eastAsia="zh-CN" w:bidi="ar"/>
              </w:rPr>
              <w:t>讲授学时</w:t>
            </w:r>
          </w:p>
        </w:tc>
        <w:tc>
          <w:tcPr>
            <w:tcW w:w="270"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left="0" w:firstLine="0" w:firstLineChars="0"/>
              <w:jc w:val="center"/>
              <w:textAlignment w:val="center"/>
              <w:rPr>
                <w:rFonts w:hint="default" w:ascii="Times New Roman" w:hAnsi="Times New Roman" w:eastAsia="楷体" w:cs="Times New Roman"/>
                <w:b/>
                <w:bCs/>
                <w:i w:val="0"/>
                <w:iCs w:val="0"/>
                <w:color w:val="000000"/>
                <w:sz w:val="21"/>
                <w:szCs w:val="21"/>
                <w:u w:val="none"/>
              </w:rPr>
            </w:pPr>
            <w:r>
              <w:rPr>
                <w:rFonts w:hint="default" w:ascii="Times New Roman" w:hAnsi="Times New Roman" w:eastAsia="楷体" w:cs="Times New Roman"/>
                <w:b/>
                <w:bCs/>
                <w:i w:val="0"/>
                <w:iCs w:val="0"/>
                <w:color w:val="000000"/>
                <w:kern w:val="0"/>
                <w:sz w:val="21"/>
                <w:szCs w:val="21"/>
                <w:u w:val="none"/>
                <w:lang w:val="en-US" w:eastAsia="zh-CN" w:bidi="ar"/>
              </w:rPr>
              <w:t>实践学时</w:t>
            </w:r>
          </w:p>
        </w:tc>
        <w:tc>
          <w:tcPr>
            <w:tcW w:w="454"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left="0" w:firstLine="0" w:firstLineChars="0"/>
              <w:jc w:val="center"/>
              <w:textAlignment w:val="center"/>
              <w:rPr>
                <w:rFonts w:hint="default" w:ascii="Times New Roman" w:hAnsi="Times New Roman" w:eastAsia="楷体" w:cs="Times New Roman"/>
                <w:b/>
                <w:bCs/>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Fonts w:hint="default" w:ascii="Times New Roman" w:hAnsi="Times New Roman" w:eastAsia="楷体" w:cs="Times New Roman"/>
                <w:b/>
                <w:bCs/>
                <w:i w:val="0"/>
                <w:iCs w:val="0"/>
                <w:color w:val="000000"/>
                <w:kern w:val="0"/>
                <w:sz w:val="21"/>
                <w:szCs w:val="21"/>
                <w:u w:val="none"/>
                <w:lang w:val="en-US" w:eastAsia="zh-CN" w:bidi="ar"/>
              </w:rPr>
              <w:t>学年</w:t>
            </w:r>
          </w:p>
        </w:tc>
        <w:tc>
          <w:tcPr>
            <w:tcW w:w="455"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left="0" w:firstLine="0" w:firstLineChars="0"/>
              <w:jc w:val="center"/>
              <w:textAlignment w:val="center"/>
              <w:rPr>
                <w:rFonts w:hint="default" w:ascii="Times New Roman" w:hAnsi="Times New Roman" w:eastAsia="楷体" w:cs="Times New Roman"/>
                <w:b/>
                <w:bCs/>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楷体" w:cs="Times New Roman"/>
                <w:b/>
                <w:bCs/>
                <w:i w:val="0"/>
                <w:iCs w:val="0"/>
                <w:color w:val="000000"/>
                <w:kern w:val="0"/>
                <w:sz w:val="21"/>
                <w:szCs w:val="21"/>
                <w:u w:val="none"/>
                <w:lang w:val="en-US" w:eastAsia="zh-CN" w:bidi="ar"/>
              </w:rPr>
              <w:t>学年</w:t>
            </w:r>
          </w:p>
        </w:tc>
        <w:tc>
          <w:tcPr>
            <w:tcW w:w="43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left="0" w:firstLine="0" w:firstLineChars="0"/>
              <w:jc w:val="center"/>
              <w:textAlignment w:val="center"/>
              <w:rPr>
                <w:rFonts w:hint="default" w:ascii="Times New Roman" w:hAnsi="Times New Roman" w:eastAsia="楷体" w:cs="Times New Roman"/>
                <w:b/>
                <w:bCs/>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楷体" w:cs="Times New Roman"/>
                <w:b/>
                <w:bCs/>
                <w:i w:val="0"/>
                <w:iCs w:val="0"/>
                <w:color w:val="000000"/>
                <w:kern w:val="0"/>
                <w:sz w:val="21"/>
                <w:szCs w:val="21"/>
                <w:u w:val="none"/>
                <w:lang w:val="en-US" w:eastAsia="zh-CN" w:bidi="ar"/>
              </w:rPr>
              <w:t>学年</w:t>
            </w:r>
          </w:p>
        </w:tc>
        <w:tc>
          <w:tcPr>
            <w:tcW w:w="412"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left="0" w:firstLine="0" w:firstLineChars="0"/>
              <w:jc w:val="center"/>
              <w:textAlignment w:val="center"/>
              <w:rPr>
                <w:rFonts w:hint="default" w:ascii="Times New Roman" w:hAnsi="Times New Roman" w:eastAsia="楷体" w:cs="Times New Roman"/>
                <w:b/>
                <w:bCs/>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r>
              <w:rPr>
                <w:rFonts w:hint="default" w:ascii="Times New Roman" w:hAnsi="Times New Roman" w:eastAsia="楷体" w:cs="Times New Roman"/>
                <w:b/>
                <w:bCs/>
                <w:i w:val="0"/>
                <w:iCs w:val="0"/>
                <w:color w:val="000000"/>
                <w:kern w:val="0"/>
                <w:sz w:val="21"/>
                <w:szCs w:val="21"/>
                <w:u w:val="none"/>
                <w:lang w:val="en-US" w:eastAsia="zh-CN" w:bidi="ar"/>
              </w:rPr>
              <w:t>学年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tblHeader/>
          <w:jc w:val="center"/>
        </w:trPr>
        <w:tc>
          <w:tcPr>
            <w:tcW w:w="374" w:type="pct"/>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left="0" w:firstLine="0" w:firstLineChars="0"/>
              <w:jc w:val="center"/>
              <w:rPr>
                <w:rFonts w:hint="default" w:ascii="Times New Roman" w:hAnsi="Times New Roman" w:eastAsia="楷体" w:cs="Times New Roman"/>
                <w:b/>
                <w:bCs/>
                <w:i w:val="0"/>
                <w:iCs w:val="0"/>
                <w:color w:val="000000"/>
                <w:sz w:val="21"/>
                <w:szCs w:val="21"/>
                <w:u w:val="none"/>
              </w:rPr>
            </w:pPr>
            <w:commentRangeStart w:id="16"/>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left="0" w:firstLine="0" w:firstLineChars="0"/>
              <w:jc w:val="center"/>
              <w:rPr>
                <w:rFonts w:hint="default" w:ascii="Times New Roman" w:hAnsi="Times New Roman" w:eastAsia="楷体" w:cs="Times New Roman"/>
                <w:b/>
                <w:bCs/>
                <w:i w:val="0"/>
                <w:iCs w:val="0"/>
                <w:color w:val="000000"/>
                <w:sz w:val="21"/>
                <w:szCs w:val="21"/>
                <w:u w:val="none"/>
              </w:rPr>
            </w:pPr>
          </w:p>
        </w:tc>
        <w:tc>
          <w:tcPr>
            <w:tcW w:w="76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left="0" w:firstLine="0" w:firstLineChars="0"/>
              <w:jc w:val="center"/>
              <w:rPr>
                <w:rFonts w:hint="default" w:ascii="Times New Roman" w:hAnsi="Times New Roman" w:eastAsia="楷体" w:cs="Times New Roman"/>
                <w:b/>
                <w:bCs/>
                <w:i w:val="0"/>
                <w:iCs w:val="0"/>
                <w:color w:val="000000"/>
                <w:sz w:val="21"/>
                <w:szCs w:val="21"/>
                <w:u w:val="none"/>
              </w:rPr>
            </w:pPr>
          </w:p>
        </w:tc>
        <w:tc>
          <w:tcPr>
            <w:tcW w:w="79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left="0" w:firstLine="0" w:firstLineChars="0"/>
              <w:jc w:val="center"/>
              <w:rPr>
                <w:rFonts w:hint="default" w:ascii="Times New Roman" w:hAnsi="Times New Roman" w:eastAsia="楷体" w:cs="Times New Roman"/>
                <w:b/>
                <w:bCs/>
                <w:i w:val="0"/>
                <w:iCs w:val="0"/>
                <w:color w:val="000000"/>
                <w:sz w:val="21"/>
                <w:szCs w:val="21"/>
                <w:u w:val="none"/>
              </w:rPr>
            </w:pPr>
          </w:p>
        </w:tc>
        <w:tc>
          <w:tcPr>
            <w:tcW w:w="257"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left="0" w:firstLine="0" w:firstLineChars="0"/>
              <w:jc w:val="center"/>
              <w:rPr>
                <w:rFonts w:hint="default" w:ascii="Times New Roman" w:hAnsi="Times New Roman" w:eastAsia="楷体" w:cs="Times New Roman"/>
                <w:b/>
                <w:bCs/>
                <w:i w:val="0"/>
                <w:iCs w:val="0"/>
                <w:color w:val="000000"/>
                <w:sz w:val="21"/>
                <w:szCs w:val="21"/>
                <w:u w:val="none"/>
              </w:rPr>
            </w:pPr>
          </w:p>
        </w:tc>
        <w:tc>
          <w:tcPr>
            <w:tcW w:w="28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left="0" w:firstLine="0" w:firstLineChars="0"/>
              <w:jc w:val="center"/>
              <w:rPr>
                <w:rFonts w:hint="default" w:ascii="Times New Roman" w:hAnsi="Times New Roman" w:eastAsia="楷体" w:cs="Times New Roman"/>
                <w:b/>
                <w:bCs/>
                <w:i w:val="0"/>
                <w:iCs w:val="0"/>
                <w:color w:val="000000"/>
                <w:sz w:val="21"/>
                <w:szCs w:val="21"/>
                <w:u w:val="none"/>
              </w:rPr>
            </w:pPr>
          </w:p>
        </w:tc>
        <w:tc>
          <w:tcPr>
            <w:tcW w:w="26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left="0" w:firstLine="0" w:firstLineChars="0"/>
              <w:jc w:val="center"/>
              <w:rPr>
                <w:rFonts w:hint="default" w:ascii="Times New Roman" w:hAnsi="Times New Roman" w:eastAsia="楷体" w:cs="Times New Roman"/>
                <w:b/>
                <w:bCs/>
                <w:i w:val="0"/>
                <w:iCs w:val="0"/>
                <w:color w:val="000000"/>
                <w:sz w:val="21"/>
                <w:szCs w:val="21"/>
                <w:u w:val="none"/>
              </w:rPr>
            </w:pPr>
          </w:p>
        </w:tc>
        <w:tc>
          <w:tcPr>
            <w:tcW w:w="27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left="0" w:firstLine="0" w:firstLineChars="0"/>
              <w:jc w:val="center"/>
              <w:rPr>
                <w:rFonts w:hint="default" w:ascii="Times New Roman" w:hAnsi="Times New Roman" w:eastAsia="楷体" w:cs="Times New Roman"/>
                <w:b/>
                <w:bCs/>
                <w:i w:val="0"/>
                <w:iCs w:val="0"/>
                <w:color w:val="000000"/>
                <w:sz w:val="21"/>
                <w:szCs w:val="21"/>
                <w:u w:val="none"/>
              </w:rPr>
            </w:pPr>
          </w:p>
        </w:tc>
        <w:tc>
          <w:tcPr>
            <w:tcW w:w="2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lef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1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lef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2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lef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lef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lef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2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lef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20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lef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2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lef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w:t>
            </w:r>
            <w:commentRangeEnd w:id="16"/>
            <w:r>
              <w:rPr>
                <w:rFonts w:hint="default" w:ascii="Times New Roman" w:hAnsi="Times New Roman" w:cs="Times New Roman"/>
              </w:rPr>
              <w:commentReference w:id="16"/>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5" w:hRule="atLeast"/>
          <w:jc w:val="center"/>
        </w:trPr>
        <w:tc>
          <w:tcPr>
            <w:tcW w:w="374" w:type="pct"/>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公共必修课</w:t>
            </w:r>
          </w:p>
        </w:tc>
        <w:tc>
          <w:tcPr>
            <w:tcW w:w="233"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体育（一）</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Physical Education (</w:t>
            </w:r>
            <w:r>
              <w:rPr>
                <w:rFonts w:hint="default" w:ascii="Times New Roman" w:hAnsi="Times New Roman" w:eastAsia="楷体" w:cs="Times New Roman"/>
                <w:i w:val="0"/>
                <w:iCs w:val="0"/>
                <w:color w:val="000000"/>
                <w:kern w:val="0"/>
                <w:sz w:val="21"/>
                <w:szCs w:val="21"/>
                <w:u w:val="none"/>
                <w:lang w:val="en-US" w:eastAsia="zh-CN" w:bidi="ar"/>
              </w:rPr>
              <w:t>Ⅰ</w:t>
            </w:r>
            <w:r>
              <w:rPr>
                <w:rFonts w:hint="default" w:ascii="Times New Roman" w:hAnsi="Times New Roman" w:eastAsia="宋体" w:cs="Times New Roman"/>
                <w:i w:val="0"/>
                <w:iCs w:val="0"/>
                <w:color w:val="000000"/>
                <w:kern w:val="0"/>
                <w:sz w:val="21"/>
                <w:szCs w:val="21"/>
                <w:u w:val="none"/>
                <w:lang w:val="en-US" w:eastAsia="zh-CN" w:bidi="ar"/>
              </w:rPr>
              <w:t>)</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2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5" w:hRule="atLeast"/>
          <w:jc w:val="center"/>
        </w:trPr>
        <w:tc>
          <w:tcPr>
            <w:tcW w:w="374" w:type="pct"/>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体育（二）</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Physical Education (</w:t>
            </w:r>
            <w:r>
              <w:rPr>
                <w:rFonts w:hint="default" w:ascii="Times New Roman" w:hAnsi="Times New Roman" w:eastAsia="楷体" w:cs="Times New Roman"/>
                <w:i w:val="0"/>
                <w:iCs w:val="0"/>
                <w:color w:val="000000"/>
                <w:kern w:val="0"/>
                <w:sz w:val="21"/>
                <w:szCs w:val="21"/>
                <w:u w:val="none"/>
                <w:lang w:val="en-US" w:eastAsia="zh-CN" w:bidi="ar"/>
              </w:rPr>
              <w:t>Ⅱ</w:t>
            </w:r>
            <w:r>
              <w:rPr>
                <w:rFonts w:hint="default" w:ascii="Times New Roman" w:hAnsi="Times New Roman" w:eastAsia="宋体" w:cs="Times New Roman"/>
                <w:i w:val="0"/>
                <w:iCs w:val="0"/>
                <w:color w:val="000000"/>
                <w:kern w:val="0"/>
                <w:sz w:val="21"/>
                <w:szCs w:val="21"/>
                <w:u w:val="none"/>
                <w:lang w:val="en-US" w:eastAsia="zh-CN" w:bidi="ar"/>
              </w:rPr>
              <w:t>)</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0" w:hRule="atLeast"/>
          <w:jc w:val="center"/>
        </w:trPr>
        <w:tc>
          <w:tcPr>
            <w:tcW w:w="374" w:type="pct"/>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体育（三）</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Physical Education (</w:t>
            </w:r>
            <w:r>
              <w:rPr>
                <w:rFonts w:hint="default" w:ascii="Times New Roman" w:hAnsi="Times New Roman" w:eastAsia="楷体" w:cs="Times New Roman"/>
                <w:i w:val="0"/>
                <w:iCs w:val="0"/>
                <w:color w:val="000000"/>
                <w:kern w:val="0"/>
                <w:sz w:val="21"/>
                <w:szCs w:val="21"/>
                <w:u w:val="none"/>
                <w:lang w:val="en-US" w:eastAsia="zh-CN" w:bidi="ar"/>
              </w:rPr>
              <w:t>Ⅲ</w:t>
            </w:r>
            <w:r>
              <w:rPr>
                <w:rFonts w:hint="default" w:ascii="Times New Roman" w:hAnsi="Times New Roman" w:eastAsia="宋体" w:cs="Times New Roman"/>
                <w:i w:val="0"/>
                <w:iCs w:val="0"/>
                <w:color w:val="000000"/>
                <w:kern w:val="0"/>
                <w:sz w:val="21"/>
                <w:szCs w:val="21"/>
                <w:u w:val="none"/>
                <w:lang w:val="en-US" w:eastAsia="zh-CN" w:bidi="ar"/>
              </w:rPr>
              <w:t>)</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0" w:hRule="atLeast"/>
          <w:jc w:val="center"/>
        </w:trPr>
        <w:tc>
          <w:tcPr>
            <w:tcW w:w="374" w:type="pct"/>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体育（四）</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Physical Education (</w:t>
            </w:r>
            <w:r>
              <w:rPr>
                <w:rFonts w:hint="default" w:ascii="Times New Roman" w:hAnsi="Times New Roman" w:eastAsia="楷体" w:cs="Times New Roman"/>
                <w:i w:val="0"/>
                <w:iCs w:val="0"/>
                <w:color w:val="000000"/>
                <w:kern w:val="0"/>
                <w:sz w:val="21"/>
                <w:szCs w:val="21"/>
                <w:u w:val="none"/>
                <w:lang w:val="en-US" w:eastAsia="zh-CN" w:bidi="ar"/>
              </w:rPr>
              <w:t>Ⅳ</w:t>
            </w:r>
            <w:r>
              <w:rPr>
                <w:rFonts w:hint="default" w:ascii="Times New Roman" w:hAnsi="Times New Roman" w:eastAsia="宋体" w:cs="Times New Roman"/>
                <w:i w:val="0"/>
                <w:iCs w:val="0"/>
                <w:color w:val="000000"/>
                <w:kern w:val="0"/>
                <w:sz w:val="21"/>
                <w:szCs w:val="21"/>
                <w:u w:val="none"/>
                <w:lang w:val="en-US" w:eastAsia="zh-CN" w:bidi="ar"/>
              </w:rPr>
              <w:t>)</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50" w:hRule="atLeast"/>
          <w:jc w:val="center"/>
        </w:trPr>
        <w:tc>
          <w:tcPr>
            <w:tcW w:w="374" w:type="pct"/>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 xml:space="preserve">思想道德修养与法律基础 </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Ideological and Moral Cultivation and Legal Basis </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80" w:hRule="atLeast"/>
          <w:jc w:val="center"/>
        </w:trPr>
        <w:tc>
          <w:tcPr>
            <w:tcW w:w="374" w:type="pct"/>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 xml:space="preserve">中国近现代史纲要 </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Survey of Chinese Modern History </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0" w:hRule="atLeast"/>
          <w:jc w:val="center"/>
        </w:trPr>
        <w:tc>
          <w:tcPr>
            <w:tcW w:w="374" w:type="pct"/>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 xml:space="preserve">马克思主义基本原理概论 </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Basic Principles of Marxism </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40" w:hRule="atLeast"/>
          <w:jc w:val="center"/>
        </w:trPr>
        <w:tc>
          <w:tcPr>
            <w:tcW w:w="374" w:type="pct"/>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毛泽东思想和中国特色社会主义理论体系概论</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Introduction to the Theoretical System of Socialism with Chinese Characteristics and Mao Zedong Thought </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10" w:hRule="atLeast"/>
          <w:jc w:val="center"/>
        </w:trPr>
        <w:tc>
          <w:tcPr>
            <w:tcW w:w="374" w:type="pct"/>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 xml:space="preserve">毛泽东思想和中国特色社会主义理论体系概论（实践） </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Introduction to the Theoretical System of Socialism with Chinese Characteristics and Mao Zedong Thought(Practice) </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0" w:hRule="atLeast"/>
          <w:jc w:val="center"/>
        </w:trPr>
        <w:tc>
          <w:tcPr>
            <w:tcW w:w="374" w:type="pct"/>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 xml:space="preserve">形势与政策 </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Situation and Policy </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80" w:hRule="atLeast"/>
          <w:jc w:val="center"/>
        </w:trPr>
        <w:tc>
          <w:tcPr>
            <w:tcW w:w="374" w:type="pct"/>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 xml:space="preserve">人文社科模块 </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Humanities and Social Science Module</w:t>
            </w:r>
          </w:p>
        </w:tc>
        <w:tc>
          <w:tcPr>
            <w:tcW w:w="257" w:type="pct"/>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80"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w:t>
            </w:r>
          </w:p>
        </w:tc>
        <w:tc>
          <w:tcPr>
            <w:tcW w:w="26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72</w:t>
            </w:r>
          </w:p>
        </w:tc>
        <w:tc>
          <w:tcPr>
            <w:tcW w:w="270"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454"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892" w:type="pct"/>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0" w:hRule="atLeast"/>
          <w:jc w:val="center"/>
        </w:trPr>
        <w:tc>
          <w:tcPr>
            <w:tcW w:w="374" w:type="pct"/>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 xml:space="preserve">自然科学模块 </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Natural Science Module</w:t>
            </w:r>
          </w:p>
        </w:tc>
        <w:tc>
          <w:tcPr>
            <w:tcW w:w="257" w:type="pct"/>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8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6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7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454" w:type="pct"/>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455" w:type="pct"/>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436" w:type="pct"/>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412" w:type="pct"/>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0" w:hRule="atLeast"/>
          <w:jc w:val="center"/>
        </w:trPr>
        <w:tc>
          <w:tcPr>
            <w:tcW w:w="2162" w:type="pct"/>
            <w:gridSpan w:val="5"/>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公共必修课学分（学时）小计</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508</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340</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168</w:t>
            </w:r>
          </w:p>
        </w:tc>
        <w:tc>
          <w:tcPr>
            <w:tcW w:w="2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21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22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2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2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0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0" w:hRule="atLeast"/>
          <w:jc w:val="center"/>
        </w:trPr>
        <w:tc>
          <w:tcPr>
            <w:tcW w:w="374"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美育限定性选修课</w:t>
            </w:r>
          </w:p>
        </w:tc>
        <w:tc>
          <w:tcPr>
            <w:tcW w:w="2866" w:type="pct"/>
            <w:gridSpan w:val="7"/>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美育限定性选修课须修读不少于</w:t>
            </w:r>
            <w:r>
              <w:rPr>
                <w:rFonts w:hint="default"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楷体" w:cs="Times New Roman"/>
                <w:i w:val="0"/>
                <w:iCs w:val="0"/>
                <w:color w:val="000000"/>
                <w:kern w:val="0"/>
                <w:sz w:val="21"/>
                <w:szCs w:val="21"/>
                <w:u w:val="none"/>
                <w:lang w:val="en-US" w:eastAsia="zh-CN" w:bidi="ar"/>
              </w:rPr>
              <w:t>学分</w:t>
            </w:r>
          </w:p>
        </w:tc>
        <w:tc>
          <w:tcPr>
            <w:tcW w:w="1759" w:type="pct"/>
            <w:gridSpan w:val="8"/>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0" w:hRule="atLeast"/>
          <w:jc w:val="center"/>
        </w:trPr>
        <w:tc>
          <w:tcPr>
            <w:tcW w:w="374"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校级公选课</w:t>
            </w:r>
          </w:p>
        </w:tc>
        <w:tc>
          <w:tcPr>
            <w:tcW w:w="2866" w:type="pct"/>
            <w:gridSpan w:val="7"/>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校级公选课须修读不少于</w:t>
            </w:r>
            <w:r>
              <w:rPr>
                <w:rFonts w:hint="default" w:ascii="Times New Roman" w:hAnsi="Times New Roman" w:eastAsia="宋体" w:cs="Times New Roman"/>
                <w:i w:val="0"/>
                <w:iCs w:val="0"/>
                <w:color w:val="000000"/>
                <w:kern w:val="0"/>
                <w:sz w:val="21"/>
                <w:szCs w:val="21"/>
                <w:u w:val="none"/>
                <w:lang w:val="en-US" w:eastAsia="zh-CN" w:bidi="ar"/>
              </w:rPr>
              <w:t>13</w:t>
            </w:r>
            <w:r>
              <w:rPr>
                <w:rFonts w:hint="default" w:ascii="Times New Roman" w:hAnsi="Times New Roman" w:eastAsia="楷体" w:cs="Times New Roman"/>
                <w:i w:val="0"/>
                <w:iCs w:val="0"/>
                <w:color w:val="000000"/>
                <w:kern w:val="0"/>
                <w:sz w:val="21"/>
                <w:szCs w:val="21"/>
                <w:u w:val="none"/>
                <w:lang w:val="en-US" w:eastAsia="zh-CN" w:bidi="ar"/>
              </w:rPr>
              <w:t>学分</w:t>
            </w:r>
          </w:p>
        </w:tc>
        <w:tc>
          <w:tcPr>
            <w:tcW w:w="2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1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2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0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0" w:hRule="atLeast"/>
          <w:jc w:val="center"/>
        </w:trPr>
        <w:tc>
          <w:tcPr>
            <w:tcW w:w="5000" w:type="pct"/>
            <w:gridSpan w:val="17"/>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公共选修课学分须修读不少于</w:t>
            </w:r>
            <w:r>
              <w:rPr>
                <w:rFonts w:hint="default" w:ascii="Times New Roman" w:hAnsi="Times New Roman" w:eastAsia="宋体" w:cs="Times New Roman"/>
                <w:i w:val="0"/>
                <w:iCs w:val="0"/>
                <w:color w:val="000000"/>
                <w:kern w:val="0"/>
                <w:sz w:val="21"/>
                <w:szCs w:val="21"/>
                <w:u w:val="none"/>
                <w:lang w:val="en-US" w:eastAsia="zh-CN" w:bidi="ar"/>
              </w:rPr>
              <w:t>15</w:t>
            </w:r>
            <w:r>
              <w:rPr>
                <w:rFonts w:hint="default" w:ascii="Times New Roman" w:hAnsi="Times New Roman" w:eastAsia="楷体" w:cs="Times New Roman"/>
                <w:i w:val="0"/>
                <w:iCs w:val="0"/>
                <w:color w:val="000000"/>
                <w:kern w:val="0"/>
                <w:sz w:val="21"/>
                <w:szCs w:val="21"/>
                <w:u w:val="none"/>
                <w:lang w:val="en-US" w:eastAsia="zh-CN" w:bidi="ar"/>
              </w:rPr>
              <w:t>学分，包括美育限定性选修课、校级公选课和学术报告型选修课，其中学术报告型选修课无最低修读要求。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0" w:hRule="atLeast"/>
          <w:jc w:val="center"/>
        </w:trPr>
        <w:tc>
          <w:tcPr>
            <w:tcW w:w="185"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专业必修课</w:t>
            </w:r>
          </w:p>
        </w:tc>
        <w:tc>
          <w:tcPr>
            <w:tcW w:w="18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专业核心课</w:t>
            </w:r>
          </w:p>
        </w:tc>
        <w:tc>
          <w:tcPr>
            <w:tcW w:w="233"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法语语音（一）</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Oral French I</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2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法国与法语国家和地区概况</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Francophone</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2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8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法语视听说（一）</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French Listening and Speaking I</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法语阅读（一）</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French Reading I</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法语写作（一）</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French Writing I</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6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基础法语（四）</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Elementary French IV</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144</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96</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笔译理论与实践</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Translation Theory and Practice</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口译理论与实践</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Interpreting Theory and Practice</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新闻法语</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French Journal</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高级法语（三）</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Advanced French III</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976" w:type="pct"/>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专业核心课学分（学时）小计</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450</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147</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303</w:t>
            </w:r>
          </w:p>
        </w:tc>
        <w:tc>
          <w:tcPr>
            <w:tcW w:w="2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1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2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2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0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专业方向课</w:t>
            </w:r>
          </w:p>
        </w:tc>
        <w:tc>
          <w:tcPr>
            <w:tcW w:w="233"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25</w:t>
            </w:r>
          </w:p>
        </w:tc>
        <w:tc>
          <w:tcPr>
            <w:tcW w:w="4392" w:type="pct"/>
            <w:gridSpan w:val="1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方向一：商务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商务法语（一）</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Business French I</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商务法语（二）</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Business French II</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国际商务</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International Business</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高级法语（一）</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Advanced French I</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108</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高级法语(二)</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Advanced French II</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108</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8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法语视听说（二）</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French Listening and Speaking II</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2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高级法语视听说（一）</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Advanced French Media Listening and Speaking I</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2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创新创业教育课程</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Innovation and Entrepreneurship Education Curriculum</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976" w:type="pct"/>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专业方向课学分（学时）小计</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450</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186</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264</w:t>
            </w:r>
          </w:p>
        </w:tc>
        <w:tc>
          <w:tcPr>
            <w:tcW w:w="2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1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2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20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毕业论文/设计</w:t>
            </w:r>
          </w:p>
        </w:tc>
        <w:tc>
          <w:tcPr>
            <w:tcW w:w="23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4</w:t>
            </w: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毕业论文</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Dissertation</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05"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劳动教育课</w:t>
            </w:r>
          </w:p>
        </w:tc>
        <w:tc>
          <w:tcPr>
            <w:tcW w:w="233"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5</w:t>
            </w: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就业指导（理论</w:t>
            </w:r>
            <w:r>
              <w:rPr>
                <w:rStyle w:val="16"/>
                <w:rFonts w:hint="default" w:ascii="Times New Roman" w:hAnsi="Times New Roman" w:cs="Times New Roman"/>
                <w:sz w:val="21"/>
                <w:szCs w:val="21"/>
                <w:lang w:val="en-US" w:eastAsia="zh-CN" w:bidi="ar"/>
              </w:rPr>
              <w:t xml:space="preserve">+实践） </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Employment Guidance </w:t>
            </w:r>
            <w:r>
              <w:rPr>
                <w:rFonts w:hint="default" w:ascii="Times New Roman" w:hAnsi="Times New Roman" w:eastAsia="楷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Theory+Practice</w:t>
            </w:r>
            <w:r>
              <w:rPr>
                <w:rFonts w:hint="default" w:ascii="Times New Roman" w:hAnsi="Times New Roman" w:eastAsia="楷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专业实习</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Internship</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976" w:type="pct"/>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劳动教育课学分（学时）小计</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96</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78</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0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0" w:hRule="atLeast"/>
          <w:jc w:val="center"/>
        </w:trPr>
        <w:tc>
          <w:tcPr>
            <w:tcW w:w="2162" w:type="pct"/>
            <w:gridSpan w:val="5"/>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 xml:space="preserve">专业必修课学分（学时）小计 </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1076</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351</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725</w:t>
            </w:r>
          </w:p>
        </w:tc>
        <w:tc>
          <w:tcPr>
            <w:tcW w:w="2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1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2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2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2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0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2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0" w:hRule="atLeast"/>
          <w:jc w:val="center"/>
        </w:trPr>
        <w:tc>
          <w:tcPr>
            <w:tcW w:w="185"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专业选修课</w:t>
            </w:r>
          </w:p>
        </w:tc>
        <w:tc>
          <w:tcPr>
            <w:tcW w:w="18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专业指选课</w:t>
            </w:r>
          </w:p>
        </w:tc>
        <w:tc>
          <w:tcPr>
            <w:tcW w:w="233"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6</w:t>
            </w: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计算机应用基础</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Computer Application(Science)</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2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8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大学人文基础</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Foundation of university humanity</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8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管理学基础</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Principles of Management</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976" w:type="pct"/>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专业指选课学分（学时）小计</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6</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108</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78</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30</w:t>
            </w:r>
          </w:p>
        </w:tc>
        <w:tc>
          <w:tcPr>
            <w:tcW w:w="2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2</w:t>
            </w:r>
          </w:p>
        </w:tc>
        <w:tc>
          <w:tcPr>
            <w:tcW w:w="21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2</w:t>
            </w:r>
          </w:p>
        </w:tc>
        <w:tc>
          <w:tcPr>
            <w:tcW w:w="22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0</w:t>
            </w:r>
          </w:p>
        </w:tc>
        <w:tc>
          <w:tcPr>
            <w:tcW w:w="2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2</w:t>
            </w:r>
          </w:p>
        </w:tc>
        <w:tc>
          <w:tcPr>
            <w:tcW w:w="2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0</w:t>
            </w:r>
          </w:p>
        </w:tc>
        <w:tc>
          <w:tcPr>
            <w:tcW w:w="2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0</w:t>
            </w:r>
          </w:p>
        </w:tc>
        <w:tc>
          <w:tcPr>
            <w:tcW w:w="20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0</w:t>
            </w:r>
          </w:p>
        </w:tc>
        <w:tc>
          <w:tcPr>
            <w:tcW w:w="2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6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专业任选课</w:t>
            </w:r>
          </w:p>
        </w:tc>
        <w:tc>
          <w:tcPr>
            <w:tcW w:w="233"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39</w:t>
            </w: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基础法语（一）</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Elementary French I</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144</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96</w:t>
            </w:r>
          </w:p>
        </w:tc>
        <w:tc>
          <w:tcPr>
            <w:tcW w:w="2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法语语音（二）</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Oral French II</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6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基础法语（二）</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Elementary French II</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144</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96</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6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基础法语（三）</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Elementary French III</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144</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96</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法语语音（三）</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Oral French III</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5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法语视听说（三）</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French Listening and Speaking III</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法语阅读（二）</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French Reading II</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5"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法语语音（四）</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Oral French </w:t>
            </w:r>
            <w:r>
              <w:rPr>
                <w:rFonts w:hint="default" w:ascii="Times New Roman" w:hAnsi="Times New Roman" w:eastAsia="楷体" w:cs="Times New Roman"/>
                <w:i w:val="0"/>
                <w:iCs w:val="0"/>
                <w:color w:val="000000"/>
                <w:kern w:val="0"/>
                <w:sz w:val="21"/>
                <w:szCs w:val="21"/>
                <w:u w:val="none"/>
                <w:lang w:val="en-US" w:eastAsia="zh-CN" w:bidi="ar"/>
              </w:rPr>
              <w:t>Ⅳ</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法语阅读（三）</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French Reading III</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法语写作（二）</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French Writing II</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法国文学（一）</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French literature I</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2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高级法语视听说（二）</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Advanced French Media Listening and Speaking II</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法语阅读（四）</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French Reading IV</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商务法语写作（一）</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Business French Writing I</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8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跨文化交际</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Cross-Cultural Communication</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法国文学（二）</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French literature II</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9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高级法语视听说（三）</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Advanced French Media Listening and Speaking III</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商务法语写作（二）</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Business French Writing II</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论文写作指导</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Academic Writing Guide</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二外英语（一）</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English as a Second Language I</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2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二外英语（二）</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English as a Second LanguageII</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8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二外英语（三）</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English as a Second LanguageIII</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8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二外英语（四）</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English as a Second Language IV</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0" w:hRule="atLeast"/>
          <w:jc w:val="center"/>
        </w:trPr>
        <w:tc>
          <w:tcPr>
            <w:tcW w:w="18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1976" w:type="pct"/>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专业任选课学分（学时）小计</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67</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1206</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405</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801</w:t>
            </w:r>
          </w:p>
        </w:tc>
        <w:tc>
          <w:tcPr>
            <w:tcW w:w="2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1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22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2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2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20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2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0" w:hRule="atLeast"/>
          <w:jc w:val="center"/>
        </w:trPr>
        <w:tc>
          <w:tcPr>
            <w:tcW w:w="2162" w:type="pct"/>
            <w:gridSpan w:val="5"/>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专业选修课学分（学时）小计</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73</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1314</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459</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855</w:t>
            </w:r>
          </w:p>
        </w:tc>
        <w:tc>
          <w:tcPr>
            <w:tcW w:w="2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21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22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2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2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20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2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50" w:hRule="atLeast"/>
          <w:jc w:val="center"/>
        </w:trPr>
        <w:tc>
          <w:tcPr>
            <w:tcW w:w="374" w:type="pct"/>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成长必修课</w:t>
            </w:r>
          </w:p>
        </w:tc>
        <w:tc>
          <w:tcPr>
            <w:tcW w:w="233"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7</w:t>
            </w: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kern w:val="0"/>
                <w:sz w:val="21"/>
                <w:szCs w:val="21"/>
                <w:u w:val="none"/>
                <w:lang w:val="en-US" w:eastAsia="zh-CN" w:bidi="ar"/>
              </w:rPr>
            </w:pPr>
            <w:r>
              <w:rPr>
                <w:rFonts w:hint="default" w:ascii="Times New Roman" w:hAnsi="Times New Roman" w:eastAsia="楷体" w:cs="Times New Roman"/>
                <w:i w:val="0"/>
                <w:iCs w:val="0"/>
                <w:color w:val="000000"/>
                <w:kern w:val="0"/>
                <w:sz w:val="21"/>
                <w:szCs w:val="21"/>
                <w:u w:val="none"/>
                <w:lang w:val="en-US" w:eastAsia="zh-CN" w:bidi="ar"/>
              </w:rPr>
              <w:t>大学生</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kern w:val="0"/>
                <w:sz w:val="21"/>
                <w:szCs w:val="21"/>
                <w:u w:val="none"/>
                <w:lang w:val="en-US" w:eastAsia="zh-CN" w:bidi="ar"/>
              </w:rPr>
            </w:pPr>
            <w:r>
              <w:rPr>
                <w:rFonts w:hint="default" w:ascii="Times New Roman" w:hAnsi="Times New Roman" w:eastAsia="楷体" w:cs="Times New Roman"/>
                <w:i w:val="0"/>
                <w:iCs w:val="0"/>
                <w:color w:val="000000"/>
                <w:kern w:val="0"/>
                <w:sz w:val="21"/>
                <w:szCs w:val="21"/>
                <w:u w:val="none"/>
                <w:lang w:val="en-US" w:eastAsia="zh-CN" w:bidi="ar"/>
              </w:rPr>
              <w:t>心理健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 xml:space="preserve">康教育 </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Mental Health Education of College Students </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0" w:hRule="atLeast"/>
          <w:jc w:val="center"/>
        </w:trPr>
        <w:tc>
          <w:tcPr>
            <w:tcW w:w="374" w:type="pct"/>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kern w:val="0"/>
                <w:sz w:val="21"/>
                <w:szCs w:val="21"/>
                <w:u w:val="none"/>
                <w:lang w:val="en-US" w:eastAsia="zh-CN" w:bidi="ar"/>
              </w:rPr>
            </w:pPr>
            <w:r>
              <w:rPr>
                <w:rFonts w:hint="default" w:ascii="Times New Roman" w:hAnsi="Times New Roman" w:eastAsia="楷体" w:cs="Times New Roman"/>
                <w:i w:val="0"/>
                <w:iCs w:val="0"/>
                <w:color w:val="000000"/>
                <w:kern w:val="0"/>
                <w:sz w:val="21"/>
                <w:szCs w:val="21"/>
                <w:u w:val="none"/>
                <w:lang w:val="en-US" w:eastAsia="zh-CN" w:bidi="ar"/>
              </w:rPr>
              <w:t>军事理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论</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Military theory </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75" w:hRule="atLeast"/>
          <w:jc w:val="center"/>
        </w:trPr>
        <w:tc>
          <w:tcPr>
            <w:tcW w:w="374" w:type="pct"/>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 xml:space="preserve">创业基础（理论） </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Foundation of Establishing a business  </w:t>
            </w:r>
            <w:r>
              <w:rPr>
                <w:rFonts w:hint="default" w:ascii="Times New Roman" w:hAnsi="Times New Roman" w:eastAsia="楷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Theory</w:t>
            </w:r>
            <w:r>
              <w:rPr>
                <w:rFonts w:hint="default" w:ascii="Times New Roman" w:hAnsi="Times New Roman" w:eastAsia="楷体" w:cs="Times New Roman"/>
                <w:i w:val="0"/>
                <w:iCs w:val="0"/>
                <w:color w:val="000000"/>
                <w:kern w:val="0"/>
                <w:sz w:val="21"/>
                <w:szCs w:val="21"/>
                <w:u w:val="none"/>
                <w:lang w:val="en-US" w:eastAsia="zh-CN" w:bidi="ar"/>
              </w:rPr>
              <w:t>）</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90" w:hRule="atLeast"/>
          <w:jc w:val="center"/>
        </w:trPr>
        <w:tc>
          <w:tcPr>
            <w:tcW w:w="374" w:type="pct"/>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2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楷体" w:cs="Times New Roman"/>
                <w:i w:val="0"/>
                <w:iCs w:val="0"/>
                <w:color w:val="000000"/>
                <w:sz w:val="21"/>
                <w:szCs w:val="21"/>
                <w:u w:val="none"/>
              </w:rPr>
            </w:pPr>
          </w:p>
        </w:tc>
        <w:tc>
          <w:tcPr>
            <w:tcW w:w="7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 xml:space="preserve">创业基础（实践） </w:t>
            </w:r>
          </w:p>
        </w:tc>
        <w:tc>
          <w:tcPr>
            <w:tcW w:w="7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Foundation of  Establishing a business</w:t>
            </w:r>
            <w:r>
              <w:rPr>
                <w:rFonts w:hint="default" w:ascii="Times New Roman" w:hAnsi="Times New Roman" w:eastAsia="楷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Practice</w:t>
            </w:r>
            <w:r>
              <w:rPr>
                <w:rFonts w:hint="default" w:ascii="Times New Roman" w:hAnsi="Times New Roman" w:eastAsia="楷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23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3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c>
          <w:tcPr>
            <w:tcW w:w="2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rPr>
                <w:rFonts w:hint="default" w:ascii="Times New Roman" w:hAnsi="Times New Roman" w:eastAsia="宋体" w:cs="Times New Roman"/>
                <w:i w:val="0"/>
                <w:iCs w:val="0"/>
                <w:color w:val="000000"/>
                <w:sz w:val="21"/>
                <w:szCs w:val="21"/>
                <w:u w:val="none"/>
              </w:rPr>
            </w:pPr>
          </w:p>
        </w:tc>
        <w:tc>
          <w:tcPr>
            <w:tcW w:w="2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0" w:hRule="atLeast"/>
          <w:jc w:val="center"/>
        </w:trPr>
        <w:tc>
          <w:tcPr>
            <w:tcW w:w="2162" w:type="pct"/>
            <w:gridSpan w:val="5"/>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成长必修课学分（学时）小计</w:t>
            </w:r>
          </w:p>
        </w:tc>
        <w:tc>
          <w:tcPr>
            <w:tcW w:w="2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2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w:t>
            </w:r>
          </w:p>
        </w:tc>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2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1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2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0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bl>
    <w:p>
      <w:pPr>
        <w:pStyle w:val="8"/>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仿宋" w:hAnsi="仿宋" w:eastAsia="仿宋" w:cs="仿宋"/>
          <w:b/>
          <w:bCs w:val="0"/>
          <w:sz w:val="21"/>
          <w:szCs w:val="21"/>
        </w:rPr>
      </w:pPr>
      <w:r>
        <w:rPr>
          <w:rFonts w:hint="eastAsia" w:ascii="仿宋" w:hAnsi="仿宋" w:eastAsia="仿宋" w:cs="仿宋"/>
          <w:b/>
          <w:bCs w:val="0"/>
          <w:sz w:val="21"/>
          <w:szCs w:val="21"/>
        </w:rPr>
        <w:t>备注：公共必修课人文社科模块至少修有</w:t>
      </w:r>
      <w:r>
        <w:rPr>
          <w:rFonts w:hint="eastAsia" w:ascii="仿宋" w:hAnsi="仿宋" w:eastAsia="仿宋" w:cs="仿宋"/>
          <w:b/>
          <w:bCs w:val="0"/>
          <w:i w:val="0"/>
          <w:iCs w:val="0"/>
          <w:color w:val="000000"/>
          <w:kern w:val="0"/>
          <w:sz w:val="21"/>
          <w:szCs w:val="21"/>
          <w:u w:val="none"/>
          <w:lang w:val="en-US" w:eastAsia="zh-CN" w:bidi="ar"/>
        </w:rPr>
        <w:t>1</w:t>
      </w:r>
      <w:r>
        <w:rPr>
          <w:rFonts w:hint="eastAsia" w:ascii="仿宋" w:hAnsi="仿宋" w:eastAsia="仿宋" w:cs="仿宋"/>
          <w:b/>
          <w:bCs w:val="0"/>
          <w:sz w:val="21"/>
          <w:szCs w:val="21"/>
        </w:rPr>
        <w:t>学分的“四史”课程（</w:t>
      </w:r>
      <w:r>
        <w:rPr>
          <w:rFonts w:hint="eastAsia" w:ascii="仿宋" w:hAnsi="仿宋" w:cs="仿宋"/>
          <w:b/>
          <w:bCs w:val="0"/>
          <w:sz w:val="21"/>
          <w:szCs w:val="21"/>
          <w:lang w:val="en-US" w:eastAsia="zh-CN"/>
        </w:rPr>
        <w:t>中国共产党</w:t>
      </w:r>
      <w:r>
        <w:rPr>
          <w:rFonts w:hint="eastAsia" w:ascii="仿宋" w:hAnsi="仿宋" w:eastAsia="仿宋" w:cs="仿宋"/>
          <w:b/>
          <w:bCs w:val="0"/>
          <w:sz w:val="21"/>
          <w:szCs w:val="21"/>
        </w:rPr>
        <w:t>党史、新中国史、改革开放史和社会主义发展史）。</w:t>
      </w:r>
    </w:p>
    <w:p>
      <w:pPr>
        <w:pStyle w:val="20"/>
        <w:bidi w:val="0"/>
        <w:ind w:left="482" w:firstLine="0"/>
        <w:rPr>
          <w:rFonts w:hint="default"/>
          <w:lang w:val="en-US" w:eastAsia="zh-CN"/>
        </w:rPr>
      </w:pPr>
      <w:r>
        <w:rPr>
          <w:rFonts w:hint="eastAsia"/>
          <w:lang w:val="en-US" w:eastAsia="zh-CN"/>
        </w:rPr>
        <w:t>表二</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辅修课程、辅修专业、辅修专业学位课程计划进程表</w:t>
      </w:r>
    </w:p>
    <w:p>
      <w:pPr>
        <w:pStyle w:val="20"/>
        <w:bidi w:val="0"/>
        <w:ind w:left="482" w:firstLine="0"/>
        <w:rPr>
          <w:rFonts w:hint="eastAsia"/>
          <w:lang w:val="en-US" w:eastAsia="zh-CN"/>
        </w:rPr>
      </w:pPr>
      <w:r>
        <w:rPr>
          <w:rFonts w:hint="eastAsia"/>
          <w:lang w:val="en-US" w:eastAsia="zh-CN"/>
        </w:rPr>
        <w:t>分表一</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法语专业辅修课程人才培养方案</w:t>
      </w:r>
    </w:p>
    <w:p>
      <w:pPr>
        <w:pStyle w:val="8"/>
        <w:pageBreakBefore w:val="0"/>
        <w:tabs>
          <w:tab w:val="left" w:pos="9000"/>
        </w:tabs>
        <w:kinsoku/>
        <w:wordWrap/>
        <w:overflowPunct/>
        <w:topLinePunct w:val="0"/>
        <w:autoSpaceDE/>
        <w:autoSpaceDN/>
        <w:bidi w:val="0"/>
        <w:adjustRightInd/>
        <w:spacing w:line="360" w:lineRule="auto"/>
        <w:ind w:firstLine="0" w:firstLineChars="0"/>
        <w:jc w:val="center"/>
        <w:rPr>
          <w:rFonts w:hint="default" w:ascii="Times New Roman" w:hAnsi="Times New Roman" w:eastAsia="仿宋" w:cs="Times New Roman"/>
          <w:sz w:val="22"/>
          <w:szCs w:val="24"/>
          <w:lang w:val="en-US" w:eastAsia="zh-CN"/>
        </w:rPr>
      </w:pPr>
      <w:r>
        <w:rPr>
          <w:rFonts w:hint="eastAsia" w:ascii="Times New Roman" w:hAnsi="Times New Roman" w:cs="Times New Roman"/>
          <w:sz w:val="22"/>
          <w:szCs w:val="24"/>
          <w:lang w:val="en-US" w:eastAsia="zh-CN"/>
        </w:rPr>
        <w:t>......</w:t>
      </w:r>
    </w:p>
    <w:p>
      <w:r>
        <w:br w:type="page"/>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kern w:val="44"/>
          <w:sz w:val="44"/>
          <w:szCs w:val="44"/>
          <w:lang w:val="en-US" w:eastAsia="zh-CN" w:bidi="ar-SA"/>
        </w:rPr>
      </w:pPr>
      <w:r>
        <w:rPr>
          <w:rStyle w:val="27"/>
          <w:rFonts w:hint="eastAsia"/>
          <w:lang w:val="en-US" w:eastAsia="zh-CN"/>
        </w:rPr>
        <w:t>xx</w:t>
      </w:r>
      <w:commentRangeStart w:id="17"/>
      <w:r>
        <w:rPr>
          <w:rStyle w:val="27"/>
          <w:rFonts w:hint="eastAsia"/>
          <w:lang w:val="en-US" w:eastAsia="zh-CN"/>
        </w:rPr>
        <w:t>专业（专升本）</w:t>
      </w:r>
      <w:commentRangeEnd w:id="17"/>
      <w:r>
        <w:commentReference w:id="17"/>
      </w:r>
    </w:p>
    <w:p>
      <w:pPr>
        <w:pStyle w:val="19"/>
        <w:bidi w:val="0"/>
      </w:pPr>
      <w:r>
        <w:t>一、专业名称、代码和学制</w:t>
      </w:r>
    </w:p>
    <w:p>
      <w:pPr>
        <w:pStyle w:val="20"/>
        <w:bidi w:val="0"/>
        <w:rPr>
          <w:rFonts w:hint="default"/>
        </w:rPr>
      </w:pPr>
      <w:r>
        <w:rPr>
          <w:rFonts w:hint="eastAsia"/>
        </w:rPr>
        <w:t>（一）专业名称（中英文）：</w:t>
      </w:r>
      <w:r>
        <w:rPr>
          <w:rFonts w:hint="eastAsia"/>
          <w:lang w:val="en-US" w:eastAsia="zh-CN"/>
        </w:rPr>
        <w:t>英语（English）</w:t>
      </w:r>
    </w:p>
    <w:p>
      <w:pPr>
        <w:pStyle w:val="20"/>
        <w:bidi w:val="0"/>
        <w:rPr>
          <w:rFonts w:hint="eastAsia"/>
          <w:lang w:val="en-US" w:eastAsia="zh-CN"/>
        </w:rPr>
      </w:pPr>
      <w:r>
        <w:rPr>
          <w:rFonts w:hint="eastAsia"/>
        </w:rPr>
        <w:t>（</w:t>
      </w:r>
      <w:r>
        <w:rPr>
          <w:rFonts w:hint="eastAsia"/>
          <w:lang w:val="en-US" w:eastAsia="zh-CN"/>
        </w:rPr>
        <w:t>二</w:t>
      </w:r>
      <w:r>
        <w:rPr>
          <w:rFonts w:hint="eastAsia"/>
        </w:rPr>
        <w:t>）学制：</w:t>
      </w:r>
      <w:r>
        <w:rPr>
          <w:rFonts w:hint="eastAsia"/>
          <w:lang w:val="en-US" w:eastAsia="zh-CN"/>
        </w:rPr>
        <w:t>二</w:t>
      </w:r>
      <w:r>
        <w:rPr>
          <w:rFonts w:hint="eastAsia"/>
        </w:rPr>
        <w:t>年</w:t>
      </w:r>
    </w:p>
    <w:p>
      <w:pPr>
        <w:pStyle w:val="19"/>
        <w:bidi w:val="0"/>
        <w:rPr>
          <w:rFonts w:hint="eastAsia"/>
        </w:rPr>
      </w:pPr>
      <w:r>
        <w:rPr>
          <w:rFonts w:hint="eastAsia"/>
          <w:lang w:val="en-US" w:eastAsia="zh-CN"/>
        </w:rPr>
        <w:t>二</w:t>
      </w:r>
      <w:r>
        <w:rPr>
          <w:rFonts w:hint="eastAsia"/>
        </w:rPr>
        <w:t>、培养目标</w:t>
      </w:r>
    </w:p>
    <w:p>
      <w:pPr>
        <w:pStyle w:val="21"/>
        <w:bidi w:val="0"/>
        <w:rPr>
          <w:rFonts w:hint="eastAsia"/>
          <w:lang w:val="en-US" w:eastAsia="zh-CN"/>
        </w:rPr>
      </w:pPr>
      <w:r>
        <w:rPr>
          <w:rFonts w:hint="eastAsia"/>
          <w:lang w:val="en-US" w:eastAsia="zh-CN"/>
        </w:rPr>
        <w:t>本专业旨在培养具有较高的人文素养、扎实的专业知识、熟练的英语语言技能、厚实的英语语言文学专业知识和其他相关专业知识，能在外事、教育、经贸、文化、科技等部门熟练地应用英语从事国际交流、翻译、教学、科研以及管理工作的英语专门人才。</w:t>
      </w:r>
    </w:p>
    <w:p>
      <w:pPr>
        <w:pStyle w:val="19"/>
        <w:bidi w:val="0"/>
        <w:rPr>
          <w:rFonts w:hint="eastAsia"/>
        </w:rPr>
      </w:pPr>
      <w:r>
        <w:rPr>
          <w:rFonts w:hint="eastAsia"/>
          <w:lang w:val="en-US" w:eastAsia="zh-CN"/>
        </w:rPr>
        <w:t>三</w:t>
      </w:r>
      <w:r>
        <w:rPr>
          <w:rFonts w:hint="eastAsia"/>
        </w:rPr>
        <w:t>、培养规格</w:t>
      </w:r>
    </w:p>
    <w:p>
      <w:pPr>
        <w:pStyle w:val="20"/>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专业素养</w:t>
      </w:r>
    </w:p>
    <w:p>
      <w:pPr>
        <w:pStyle w:val="21"/>
        <w:bidi w:val="0"/>
        <w:rPr>
          <w:rFonts w:hint="eastAsia"/>
        </w:rPr>
      </w:pPr>
      <w:r>
        <w:rPr>
          <w:rFonts w:hint="eastAsia"/>
        </w:rPr>
        <w:t>学生应具有良好的道德品质和正确的世界观、人生观和价值观；具有社会责任感、中国情怀和国际视野；具有人文与科学素养、创新精神和合作精神。</w:t>
      </w:r>
    </w:p>
    <w:p>
      <w:pPr>
        <w:pStyle w:val="20"/>
        <w:bidi w:val="0"/>
        <w:rPr>
          <w:rFonts w:hint="eastAsia"/>
          <w:lang w:eastAsia="zh-CN"/>
        </w:rPr>
      </w:pPr>
      <w:r>
        <w:rPr>
          <w:rFonts w:hint="eastAsia"/>
          <w:lang w:eastAsia="zh-CN"/>
        </w:rPr>
        <w:t>（</w:t>
      </w:r>
      <w:r>
        <w:rPr>
          <w:rFonts w:hint="eastAsia"/>
          <w:lang w:val="en-US" w:eastAsia="zh-CN"/>
        </w:rPr>
        <w:t>二</w:t>
      </w:r>
      <w:r>
        <w:rPr>
          <w:rFonts w:hint="eastAsia"/>
          <w:lang w:eastAsia="zh-CN"/>
        </w:rPr>
        <w:t>）知识要求</w:t>
      </w:r>
    </w:p>
    <w:p>
      <w:pPr>
        <w:pStyle w:val="21"/>
        <w:bidi w:val="0"/>
        <w:rPr>
          <w:rFonts w:hint="eastAsia"/>
          <w:lang w:eastAsia="zh-CN"/>
        </w:rPr>
      </w:pPr>
      <w:r>
        <w:t>（1）培养学生了解我国的尤其是与外语教育相关的</w:t>
      </w:r>
      <w:r>
        <w:rPr>
          <w:rFonts w:hint="eastAsia"/>
          <w:lang w:val="en-US" w:eastAsia="zh-CN"/>
        </w:rPr>
        <w:t>路线、</w:t>
      </w:r>
      <w:r>
        <w:t>方针、政策、法规</w:t>
      </w:r>
      <w:r>
        <w:rPr>
          <w:rFonts w:hint="eastAsia"/>
          <w:lang w:eastAsia="zh-CN"/>
        </w:rPr>
        <w:t>；</w:t>
      </w:r>
    </w:p>
    <w:p>
      <w:pPr>
        <w:pStyle w:val="21"/>
        <w:bidi w:val="0"/>
        <w:rPr>
          <w:rFonts w:hint="eastAsia"/>
          <w:lang w:eastAsia="zh-CN"/>
        </w:rPr>
      </w:pPr>
      <w:r>
        <w:t>（2）</w:t>
      </w:r>
      <w:r>
        <w:rPr>
          <w:rFonts w:hint="eastAsia"/>
          <w:lang w:val="en-US" w:eastAsia="zh-CN"/>
        </w:rPr>
        <w:t>比较</w:t>
      </w:r>
      <w:r>
        <w:t>全面</w:t>
      </w:r>
      <w:r>
        <w:rPr>
          <w:rFonts w:hint="eastAsia"/>
          <w:lang w:val="en-US" w:eastAsia="zh-CN"/>
        </w:rPr>
        <w:t>地</w:t>
      </w:r>
      <w:r>
        <w:t>掌握英语语言知识及文学文化知识，具有扎实的英语语言基础</w:t>
      </w:r>
      <w:r>
        <w:rPr>
          <w:rFonts w:hint="eastAsia"/>
          <w:lang w:eastAsia="zh-CN"/>
        </w:rPr>
        <w:t>；</w:t>
      </w:r>
    </w:p>
    <w:p>
      <w:pPr>
        <w:pStyle w:val="21"/>
        <w:bidi w:val="0"/>
        <w:rPr>
          <w:rFonts w:hint="eastAsia"/>
          <w:lang w:eastAsia="zh-CN"/>
        </w:rPr>
      </w:pPr>
      <w:r>
        <w:t>（3）掌握语言学、文学和其他人文与自然科学方面的基本知识</w:t>
      </w:r>
      <w:r>
        <w:rPr>
          <w:rFonts w:hint="eastAsia"/>
          <w:lang w:eastAsia="zh-CN"/>
        </w:rPr>
        <w:t>；</w:t>
      </w:r>
    </w:p>
    <w:p>
      <w:pPr>
        <w:pStyle w:val="21"/>
        <w:bidi w:val="0"/>
        <w:rPr>
          <w:rFonts w:hint="eastAsia"/>
          <w:lang w:eastAsia="zh-CN"/>
        </w:rPr>
      </w:pPr>
      <w:r>
        <w:t>（4）了解中国社会与文化和</w:t>
      </w:r>
      <w:r>
        <w:rPr>
          <w:rFonts w:hint="eastAsia"/>
          <w:lang w:val="en-US" w:eastAsia="zh-CN"/>
        </w:rPr>
        <w:t>主要</w:t>
      </w:r>
      <w:r>
        <w:t>英语国家的社会和文化</w:t>
      </w:r>
      <w:r>
        <w:rPr>
          <w:rFonts w:hint="eastAsia"/>
          <w:lang w:eastAsia="zh-CN"/>
        </w:rPr>
        <w:t>；</w:t>
      </w:r>
    </w:p>
    <w:p>
      <w:pPr>
        <w:pStyle w:val="21"/>
        <w:bidi w:val="0"/>
        <w:rPr>
          <w:rFonts w:hint="eastAsia"/>
          <w:lang w:eastAsia="zh-CN"/>
        </w:rPr>
      </w:pPr>
      <w:r>
        <w:t>（5）掌握一</w:t>
      </w:r>
      <w:r>
        <w:rPr>
          <w:rFonts w:hint="eastAsia"/>
          <w:lang w:val="en-US" w:eastAsia="zh-CN"/>
        </w:rPr>
        <w:t>项</w:t>
      </w:r>
      <w:r>
        <w:t>包括教育、商务或翻译在内的专业知识和技能</w:t>
      </w:r>
      <w:r>
        <w:rPr>
          <w:rFonts w:hint="eastAsia"/>
          <w:lang w:eastAsia="zh-CN"/>
        </w:rPr>
        <w:t>；</w:t>
      </w:r>
    </w:p>
    <w:p>
      <w:pPr>
        <w:pStyle w:val="21"/>
        <w:bidi w:val="0"/>
        <w:rPr>
          <w:rFonts w:hint="eastAsia"/>
          <w:lang w:eastAsia="zh-CN"/>
        </w:rPr>
      </w:pPr>
      <w:r>
        <w:t>（6）掌握一门第二外语的基本知识</w:t>
      </w:r>
      <w:r>
        <w:rPr>
          <w:rFonts w:hint="eastAsia"/>
          <w:lang w:eastAsia="zh-CN"/>
        </w:rPr>
        <w:t>；</w:t>
      </w:r>
    </w:p>
    <w:p>
      <w:pPr>
        <w:pStyle w:val="20"/>
        <w:bidi w:val="0"/>
      </w:pPr>
      <w:r>
        <w:rPr>
          <w:rFonts w:hint="eastAsia"/>
        </w:rPr>
        <w:t>（</w:t>
      </w:r>
      <w:r>
        <w:rPr>
          <w:rFonts w:hint="eastAsia"/>
          <w:lang w:val="en-US" w:eastAsia="zh-CN"/>
        </w:rPr>
        <w:t>三</w:t>
      </w:r>
      <w:r>
        <w:rPr>
          <w:rFonts w:hint="eastAsia"/>
        </w:rPr>
        <w:t>）</w:t>
      </w:r>
      <w:r>
        <w:t>能力要求</w:t>
      </w:r>
    </w:p>
    <w:p>
      <w:pPr>
        <w:pStyle w:val="21"/>
        <w:bidi w:val="0"/>
      </w:pPr>
      <w:r>
        <w:rPr>
          <w:rFonts w:hint="eastAsia"/>
        </w:rPr>
        <w:t>（1）具有扎实的英语语言基础和熟练的听、说、读、写、译能力;</w:t>
      </w:r>
    </w:p>
    <w:p>
      <w:pPr>
        <w:pStyle w:val="21"/>
        <w:bidi w:val="0"/>
      </w:pPr>
      <w:r>
        <w:t>（</w:t>
      </w:r>
      <w:r>
        <w:rPr>
          <w:rFonts w:hint="eastAsia"/>
        </w:rPr>
        <w:t>2</w:t>
      </w:r>
      <w:r>
        <w:t>）</w:t>
      </w:r>
      <w:r>
        <w:rPr>
          <w:rFonts w:hint="eastAsia"/>
        </w:rPr>
        <w:t>具有较好的中西方文学鉴赏能力、跨文化交际能力和思辨能力；</w:t>
      </w:r>
    </w:p>
    <w:p>
      <w:pPr>
        <w:pStyle w:val="21"/>
        <w:bidi w:val="0"/>
      </w:pPr>
      <w:r>
        <w:t>（</w:t>
      </w:r>
      <w:r>
        <w:rPr>
          <w:rFonts w:hint="eastAsia"/>
        </w:rPr>
        <w:t>3</w:t>
      </w:r>
      <w:r>
        <w:t>）</w:t>
      </w:r>
      <w:r>
        <w:rPr>
          <w:rFonts w:hint="eastAsia"/>
        </w:rPr>
        <w:t>具有较好的汉语表达能力和基本的科学研究能力;</w:t>
      </w:r>
    </w:p>
    <w:p>
      <w:pPr>
        <w:pStyle w:val="21"/>
        <w:bidi w:val="0"/>
      </w:pPr>
      <w:r>
        <w:t>（</w:t>
      </w:r>
      <w:r>
        <w:rPr>
          <w:rFonts w:hint="eastAsia"/>
        </w:rPr>
        <w:t>4</w:t>
      </w:r>
      <w:r>
        <w:t>）</w:t>
      </w:r>
      <w:r>
        <w:rPr>
          <w:rFonts w:hint="eastAsia"/>
        </w:rPr>
        <w:t>具有第二外国语的基本应用能力;</w:t>
      </w:r>
    </w:p>
    <w:p>
      <w:pPr>
        <w:pStyle w:val="19"/>
        <w:bidi w:val="0"/>
        <w:rPr>
          <w:rFonts w:hint="eastAsia"/>
        </w:rPr>
      </w:pPr>
      <w:r>
        <w:rPr>
          <w:rFonts w:hint="eastAsia"/>
          <w:lang w:val="en-US" w:eastAsia="zh-CN"/>
        </w:rPr>
        <w:t>四</w:t>
      </w:r>
      <w:r>
        <w:rPr>
          <w:rFonts w:hint="eastAsia"/>
        </w:rPr>
        <w:t>、专业主干课程</w:t>
      </w:r>
    </w:p>
    <w:p>
      <w:pPr>
        <w:pStyle w:val="21"/>
        <w:bidi w:val="0"/>
        <w:rPr>
          <w:rFonts w:hint="eastAsia"/>
        </w:rPr>
      </w:pPr>
      <w:r>
        <w:t>专业主干课程</w:t>
      </w:r>
      <w:r>
        <w:rPr>
          <w:rFonts w:hint="eastAsia"/>
          <w:lang w:val="en-US" w:eastAsia="zh-CN"/>
        </w:rPr>
        <w:t>主要训练</w:t>
      </w:r>
      <w:r>
        <w:t>英语技能</w:t>
      </w:r>
      <w:r>
        <w:rPr>
          <w:rFonts w:hint="eastAsia"/>
          <w:lang w:eastAsia="zh-CN"/>
        </w:rPr>
        <w:t>，</w:t>
      </w:r>
      <w:r>
        <w:t>包括听、说、读、写、译等方面。</w:t>
      </w:r>
      <w:r>
        <w:rPr>
          <w:rFonts w:hint="eastAsia"/>
          <w:lang w:val="en-US" w:eastAsia="zh-CN"/>
        </w:rPr>
        <w:t>如：</w:t>
      </w:r>
      <w:r>
        <w:t>英语</w:t>
      </w:r>
      <w:r>
        <w:rPr>
          <w:rFonts w:hint="eastAsia"/>
          <w:lang w:val="en-US" w:eastAsia="zh-CN"/>
        </w:rPr>
        <w:t>视听说</w:t>
      </w:r>
      <w:r>
        <w:rPr>
          <w:rFonts w:hint="eastAsia"/>
          <w:lang w:eastAsia="zh-CN"/>
        </w:rPr>
        <w:t>、</w:t>
      </w:r>
      <w:r>
        <w:rPr>
          <w:rFonts w:hint="eastAsia"/>
          <w:lang w:val="en-US" w:eastAsia="zh-CN"/>
        </w:rPr>
        <w:t>高级</w:t>
      </w:r>
      <w:r>
        <w:t>英语、英语语音、英语口语、英语写作、英语语法</w:t>
      </w:r>
      <w:r>
        <w:rPr>
          <w:rFonts w:hint="eastAsia"/>
          <w:lang w:eastAsia="zh-CN"/>
        </w:rPr>
        <w:t>、</w:t>
      </w:r>
      <w:r>
        <w:rPr>
          <w:rFonts w:hint="eastAsia"/>
          <w:lang w:val="en-US" w:eastAsia="zh-CN"/>
        </w:rPr>
        <w:t>英语社会与文化</w:t>
      </w:r>
      <w:r>
        <w:t>等。</w:t>
      </w:r>
    </w:p>
    <w:p>
      <w:pPr>
        <w:pStyle w:val="19"/>
        <w:bidi w:val="0"/>
        <w:rPr>
          <w:rFonts w:hint="eastAsia"/>
        </w:rPr>
      </w:pPr>
      <w:r>
        <w:rPr>
          <w:rFonts w:hint="eastAsia"/>
          <w:lang w:val="en-US" w:eastAsia="zh-CN"/>
        </w:rPr>
        <w:t>五</w:t>
      </w:r>
      <w:r>
        <w:rPr>
          <w:rFonts w:hint="eastAsia"/>
        </w:rPr>
        <w:t>、专业相关课程</w:t>
      </w:r>
    </w:p>
    <w:p>
      <w:pPr>
        <w:pStyle w:val="21"/>
        <w:bidi w:val="0"/>
        <w:rPr>
          <w:rFonts w:hint="default"/>
          <w:lang w:val="en-US" w:eastAsia="zh-CN"/>
        </w:rPr>
      </w:pPr>
      <w:r>
        <w:rPr>
          <w:rFonts w:hint="eastAsia"/>
          <w:lang w:val="en-US" w:eastAsia="zh-CN"/>
        </w:rPr>
        <w:t>专业相关课程主要是教育、商务与翻译领域的专业知识课程，如：英语教学试讲与指导、教育学、商务英语阅读、商务方案策划（英语）、翻译理论与实践（中译英/英译中）、英语口译等</w:t>
      </w:r>
      <w:r>
        <w:t>。</w:t>
      </w:r>
    </w:p>
    <w:p>
      <w:pPr>
        <w:pStyle w:val="19"/>
        <w:bidi w:val="0"/>
        <w:rPr>
          <w:rFonts w:hint="eastAsia"/>
          <w:lang w:val="en-US" w:eastAsia="zh-CN"/>
        </w:rPr>
      </w:pPr>
      <w:r>
        <w:rPr>
          <w:rFonts w:hint="eastAsia"/>
          <w:lang w:val="en-US" w:eastAsia="zh-CN"/>
        </w:rPr>
        <w:t>六、毕业条件和授予学位</w:t>
      </w:r>
    </w:p>
    <w:p>
      <w:pPr>
        <w:bidi w:val="0"/>
        <w:jc w:val="center"/>
        <w:rPr>
          <w:rFonts w:hint="eastAsia" w:ascii="宋体" w:hAnsi="宋体" w:eastAsia="宋体" w:cs="宋体"/>
          <w:b/>
          <w:bCs/>
        </w:rPr>
      </w:pPr>
      <w:r>
        <w:rPr>
          <w:rFonts w:hint="eastAsia" w:ascii="宋体" w:hAnsi="宋体" w:eastAsia="宋体" w:cs="宋体"/>
          <w:b/>
          <w:bCs/>
        </w:rPr>
        <w:t>毕业学分结构表</w:t>
      </w:r>
    </w:p>
    <w:tbl>
      <w:tblPr>
        <w:tblStyle w:val="13"/>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106"/>
        <w:gridCol w:w="1106"/>
        <w:gridCol w:w="1108"/>
        <w:gridCol w:w="1106"/>
        <w:gridCol w:w="1106"/>
        <w:gridCol w:w="1359"/>
        <w:gridCol w:w="1110"/>
        <w:gridCol w:w="913"/>
        <w:gridCol w:w="9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trPr>
        <w:tc>
          <w:tcPr>
            <w:tcW w:w="561"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毕业总学分</w:t>
            </w:r>
          </w:p>
        </w:tc>
        <w:tc>
          <w:tcPr>
            <w:tcW w:w="1123"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公共教育</w:t>
            </w:r>
          </w:p>
        </w:tc>
        <w:tc>
          <w:tcPr>
            <w:tcW w:w="2837" w:type="pct"/>
            <w:gridSpan w:val="5"/>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专业教育</w:t>
            </w:r>
          </w:p>
        </w:tc>
        <w:tc>
          <w:tcPr>
            <w:tcW w:w="4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成长教育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6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楷体" w:hAnsi="楷体" w:eastAsia="楷体" w:cs="楷体"/>
                <w:b/>
                <w:bCs/>
                <w:i w:val="0"/>
                <w:iCs w:val="0"/>
                <w:color w:val="000000"/>
                <w:sz w:val="21"/>
                <w:szCs w:val="21"/>
                <w:u w:val="none"/>
              </w:rPr>
            </w:pPr>
          </w:p>
        </w:tc>
        <w:tc>
          <w:tcPr>
            <w:tcW w:w="1123"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必修</w:t>
            </w:r>
          </w:p>
        </w:tc>
        <w:tc>
          <w:tcPr>
            <w:tcW w:w="2374" w:type="pct"/>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必修</w:t>
            </w:r>
          </w:p>
        </w:tc>
        <w:tc>
          <w:tcPr>
            <w:tcW w:w="463"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专业选修课</w:t>
            </w:r>
          </w:p>
        </w:tc>
        <w:tc>
          <w:tcPr>
            <w:tcW w:w="476"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成长必修课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5" w:hRule="atLeast"/>
        </w:trPr>
        <w:tc>
          <w:tcPr>
            <w:tcW w:w="56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楷体" w:hAnsi="楷体" w:eastAsia="楷体" w:cs="楷体"/>
                <w:b/>
                <w:bCs/>
                <w:i w:val="0"/>
                <w:iCs w:val="0"/>
                <w:color w:val="000000"/>
                <w:sz w:val="21"/>
                <w:szCs w:val="21"/>
                <w:u w:val="none"/>
              </w:rPr>
            </w:pPr>
          </w:p>
        </w:tc>
        <w:tc>
          <w:tcPr>
            <w:tcW w:w="5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思政必修课</w:t>
            </w:r>
          </w:p>
        </w:tc>
        <w:tc>
          <w:tcPr>
            <w:tcW w:w="5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通识必修课</w:t>
            </w:r>
          </w:p>
        </w:tc>
        <w:tc>
          <w:tcPr>
            <w:tcW w:w="5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专业核心课</w:t>
            </w:r>
          </w:p>
        </w:tc>
        <w:tc>
          <w:tcPr>
            <w:tcW w:w="5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专业方向课</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毕业论文/设计</w:t>
            </w:r>
          </w:p>
        </w:tc>
        <w:tc>
          <w:tcPr>
            <w:tcW w:w="5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劳动教育课</w:t>
            </w:r>
          </w:p>
        </w:tc>
        <w:tc>
          <w:tcPr>
            <w:tcW w:w="46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楷体" w:hAnsi="楷体" w:eastAsia="楷体" w:cs="楷体"/>
                <w:b/>
                <w:bCs/>
                <w:i w:val="0"/>
                <w:iCs w:val="0"/>
                <w:color w:val="000000"/>
                <w:sz w:val="21"/>
                <w:szCs w:val="21"/>
                <w:u w:val="none"/>
              </w:rPr>
            </w:pPr>
          </w:p>
        </w:tc>
        <w:tc>
          <w:tcPr>
            <w:tcW w:w="47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楷体" w:hAnsi="楷体" w:eastAsia="楷体" w:cs="楷体"/>
                <w:b/>
                <w:bCs/>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楷体" w:cs="Times New Roman"/>
                <w:b/>
                <w:bCs/>
                <w:i w:val="0"/>
                <w:iCs w:val="0"/>
                <w:color w:val="000000"/>
                <w:sz w:val="21"/>
                <w:szCs w:val="21"/>
                <w:u w:val="none"/>
                <w:lang w:val="en-US" w:eastAsia="zh-CN"/>
              </w:rPr>
            </w:pPr>
            <w:r>
              <w:rPr>
                <w:rFonts w:hint="default" w:ascii="Times New Roman" w:hAnsi="Times New Roman" w:eastAsia="楷体" w:cs="Times New Roman"/>
                <w:b/>
                <w:bCs/>
                <w:i w:val="0"/>
                <w:iCs w:val="0"/>
                <w:color w:val="000000"/>
                <w:sz w:val="21"/>
                <w:szCs w:val="21"/>
                <w:u w:val="none"/>
                <w:lang w:val="en-US" w:eastAsia="zh-CN"/>
              </w:rPr>
              <w:t>80</w:t>
            </w:r>
          </w:p>
        </w:tc>
        <w:tc>
          <w:tcPr>
            <w:tcW w:w="5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楷体" w:cs="Times New Roman"/>
                <w:b/>
                <w:bCs/>
                <w:i w:val="0"/>
                <w:iCs w:val="0"/>
                <w:color w:val="000000"/>
                <w:sz w:val="21"/>
                <w:szCs w:val="21"/>
                <w:u w:val="none"/>
                <w:lang w:val="en-US" w:eastAsia="zh-CN"/>
              </w:rPr>
            </w:pPr>
            <w:r>
              <w:rPr>
                <w:rFonts w:hint="default" w:ascii="Times New Roman" w:hAnsi="Times New Roman" w:eastAsia="楷体" w:cs="Times New Roman"/>
                <w:b/>
                <w:bCs/>
                <w:i w:val="0"/>
                <w:iCs w:val="0"/>
                <w:color w:val="000000"/>
                <w:sz w:val="21"/>
                <w:szCs w:val="21"/>
                <w:u w:val="none"/>
                <w:lang w:val="en-US" w:eastAsia="zh-CN"/>
              </w:rPr>
              <w:t>2</w:t>
            </w:r>
          </w:p>
        </w:tc>
        <w:tc>
          <w:tcPr>
            <w:tcW w:w="5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楷体" w:cs="Times New Roman"/>
                <w:b/>
                <w:bCs/>
                <w:i w:val="0"/>
                <w:iCs w:val="0"/>
                <w:color w:val="000000"/>
                <w:sz w:val="21"/>
                <w:szCs w:val="21"/>
                <w:u w:val="none"/>
                <w:lang w:val="en-US" w:eastAsia="zh-CN"/>
              </w:rPr>
            </w:pPr>
            <w:r>
              <w:rPr>
                <w:rFonts w:hint="default" w:ascii="Times New Roman" w:hAnsi="Times New Roman" w:eastAsia="楷体" w:cs="Times New Roman"/>
                <w:b/>
                <w:bCs/>
                <w:i w:val="0"/>
                <w:iCs w:val="0"/>
                <w:color w:val="000000"/>
                <w:sz w:val="21"/>
                <w:szCs w:val="21"/>
                <w:u w:val="none"/>
                <w:lang w:val="en-US" w:eastAsia="zh-CN"/>
              </w:rPr>
              <w:t>1</w:t>
            </w:r>
          </w:p>
        </w:tc>
        <w:tc>
          <w:tcPr>
            <w:tcW w:w="56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楷体" w:cs="Times New Roman"/>
                <w:b/>
                <w:bCs/>
                <w:i w:val="0"/>
                <w:iCs w:val="0"/>
                <w:color w:val="000000"/>
                <w:sz w:val="21"/>
                <w:szCs w:val="21"/>
                <w:u w:val="none"/>
                <w:lang w:val="en-US" w:eastAsia="zh-CN"/>
              </w:rPr>
            </w:pPr>
            <w:r>
              <w:rPr>
                <w:rFonts w:hint="default" w:ascii="Times New Roman" w:hAnsi="Times New Roman" w:eastAsia="楷体" w:cs="Times New Roman"/>
                <w:b/>
                <w:bCs/>
                <w:i w:val="0"/>
                <w:iCs w:val="0"/>
                <w:color w:val="000000"/>
                <w:sz w:val="21"/>
                <w:szCs w:val="21"/>
                <w:u w:val="none"/>
                <w:lang w:val="en-US" w:eastAsia="zh-CN"/>
              </w:rPr>
              <w:t>24</w:t>
            </w:r>
          </w:p>
        </w:tc>
        <w:tc>
          <w:tcPr>
            <w:tcW w:w="56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楷体" w:cs="Times New Roman"/>
                <w:b/>
                <w:bCs/>
                <w:i w:val="0"/>
                <w:iCs w:val="0"/>
                <w:color w:val="000000"/>
                <w:sz w:val="21"/>
                <w:szCs w:val="21"/>
                <w:u w:val="none"/>
                <w:lang w:val="en-US" w:eastAsia="zh-CN"/>
              </w:rPr>
            </w:pPr>
            <w:r>
              <w:rPr>
                <w:rFonts w:hint="default" w:ascii="Times New Roman" w:hAnsi="Times New Roman" w:eastAsia="楷体" w:cs="Times New Roman"/>
                <w:b/>
                <w:bCs/>
                <w:i w:val="0"/>
                <w:iCs w:val="0"/>
                <w:color w:val="000000"/>
                <w:sz w:val="21"/>
                <w:szCs w:val="21"/>
                <w:u w:val="none"/>
                <w:lang w:val="en-US" w:eastAsia="zh-CN"/>
              </w:rPr>
              <w:t>20</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楷体" w:cs="Times New Roman"/>
                <w:b/>
                <w:bCs/>
                <w:i w:val="0"/>
                <w:iCs w:val="0"/>
                <w:color w:val="000000"/>
                <w:sz w:val="21"/>
                <w:szCs w:val="21"/>
                <w:u w:val="none"/>
                <w:lang w:val="en-US" w:eastAsia="zh-CN"/>
              </w:rPr>
            </w:pPr>
            <w:r>
              <w:rPr>
                <w:rFonts w:hint="default" w:ascii="Times New Roman" w:hAnsi="Times New Roman" w:eastAsia="楷体" w:cs="Times New Roman"/>
                <w:b/>
                <w:bCs/>
                <w:i w:val="0"/>
                <w:iCs w:val="0"/>
                <w:color w:val="000000"/>
                <w:sz w:val="21"/>
                <w:szCs w:val="21"/>
                <w:u w:val="none"/>
                <w:lang w:val="en-US" w:eastAsia="zh-CN"/>
              </w:rPr>
              <w:t>4</w:t>
            </w:r>
          </w:p>
        </w:tc>
        <w:tc>
          <w:tcPr>
            <w:tcW w:w="5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楷体" w:cs="Times New Roman"/>
                <w:b/>
                <w:bCs/>
                <w:i w:val="0"/>
                <w:iCs w:val="0"/>
                <w:color w:val="000000"/>
                <w:sz w:val="21"/>
                <w:szCs w:val="21"/>
                <w:u w:val="none"/>
                <w:lang w:val="en-US" w:eastAsia="zh-CN"/>
              </w:rPr>
            </w:pPr>
            <w:r>
              <w:rPr>
                <w:rFonts w:hint="default" w:ascii="Times New Roman" w:hAnsi="Times New Roman" w:eastAsia="楷体" w:cs="Times New Roman"/>
                <w:b/>
                <w:bCs/>
                <w:i w:val="0"/>
                <w:iCs w:val="0"/>
                <w:color w:val="000000"/>
                <w:sz w:val="21"/>
                <w:szCs w:val="21"/>
                <w:u w:val="none"/>
                <w:lang w:val="en-US" w:eastAsia="zh-CN"/>
              </w:rPr>
              <w:t>4</w:t>
            </w:r>
          </w:p>
        </w:tc>
        <w:tc>
          <w:tcPr>
            <w:tcW w:w="46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楷体" w:cs="Times New Roman"/>
                <w:b/>
                <w:bCs/>
                <w:i w:val="0"/>
                <w:iCs w:val="0"/>
                <w:color w:val="000000"/>
                <w:sz w:val="21"/>
                <w:szCs w:val="21"/>
                <w:u w:val="none"/>
                <w:lang w:val="en-US" w:eastAsia="zh-CN"/>
              </w:rPr>
            </w:pPr>
            <w:r>
              <w:rPr>
                <w:rFonts w:hint="default" w:ascii="Times New Roman" w:hAnsi="Times New Roman" w:eastAsia="楷体" w:cs="Times New Roman"/>
                <w:b/>
                <w:bCs/>
                <w:i w:val="0"/>
                <w:iCs w:val="0"/>
                <w:color w:val="000000"/>
                <w:sz w:val="21"/>
                <w:szCs w:val="21"/>
                <w:u w:val="none"/>
                <w:lang w:val="en-US" w:eastAsia="zh-CN"/>
              </w:rPr>
              <w:t>23</w:t>
            </w:r>
          </w:p>
        </w:tc>
        <w:tc>
          <w:tcPr>
            <w:tcW w:w="4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楷体" w:cs="Times New Roman"/>
                <w:b/>
                <w:bCs/>
                <w:i w:val="0"/>
                <w:iCs w:val="0"/>
                <w:color w:val="000000"/>
                <w:sz w:val="21"/>
                <w:szCs w:val="21"/>
                <w:u w:val="none"/>
                <w:lang w:val="en-US" w:eastAsia="zh-CN"/>
              </w:rPr>
            </w:pPr>
            <w:r>
              <w:rPr>
                <w:rFonts w:hint="default" w:ascii="Times New Roman" w:hAnsi="Times New Roman" w:eastAsia="楷体" w:cs="Times New Roman"/>
                <w:b/>
                <w:bCs/>
                <w:i w:val="0"/>
                <w:iCs w:val="0"/>
                <w:color w:val="000000"/>
                <w:sz w:val="21"/>
                <w:szCs w:val="21"/>
                <w:u w:val="none"/>
                <w:lang w:val="en-US" w:eastAsia="zh-CN"/>
              </w:rPr>
              <w:t>2</w:t>
            </w:r>
          </w:p>
        </w:tc>
      </w:tr>
    </w:tbl>
    <w:p>
      <w:pPr>
        <w:pStyle w:val="8"/>
        <w:keepNext w:val="0"/>
        <w:keepLines w:val="0"/>
        <w:pageBreakBefore w:val="0"/>
        <w:kinsoku/>
        <w:wordWrap/>
        <w:overflowPunct/>
        <w:topLinePunct w:val="0"/>
        <w:autoSpaceDE/>
        <w:autoSpaceDN/>
        <w:bidi w:val="0"/>
        <w:adjustRightInd/>
        <w:snapToGrid/>
        <w:spacing w:line="400" w:lineRule="exact"/>
        <w:ind w:firstLine="0" w:firstLineChars="0"/>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备注：所有专升本专业的学生至少修满1学分的通识必修“四史”课程（中国共产党党史、新中国史、改革开放史和社会主义发展史）。</w:t>
      </w:r>
    </w:p>
    <w:p>
      <w:pPr>
        <w:pStyle w:val="20"/>
        <w:bidi w:val="0"/>
        <w:rPr>
          <w:rFonts w:hint="eastAsia"/>
          <w:color w:val="auto"/>
          <w:lang w:val="en-US" w:eastAsia="zh-CN"/>
        </w:rPr>
      </w:pPr>
      <w:commentRangeStart w:id="18"/>
      <w:r>
        <w:rPr>
          <w:rFonts w:hint="eastAsia"/>
          <w:color w:val="auto"/>
          <w:lang w:val="en-US" w:eastAsia="zh-CN"/>
        </w:rPr>
        <w:t>（一）毕业学分</w:t>
      </w:r>
    </w:p>
    <w:p>
      <w:pPr>
        <w:pStyle w:val="21"/>
        <w:bidi w:val="0"/>
        <w:rPr>
          <w:color w:val="auto"/>
        </w:rPr>
      </w:pPr>
      <w:r>
        <w:rPr>
          <w:color w:val="auto"/>
        </w:rPr>
        <w:t>取得</w:t>
      </w:r>
      <w:r>
        <w:rPr>
          <w:rFonts w:hint="eastAsia"/>
          <w:color w:val="auto"/>
          <w:lang w:eastAsia="zh-CN"/>
        </w:rPr>
        <w:t>XX专业</w:t>
      </w:r>
      <w:r>
        <w:rPr>
          <w:color w:val="auto"/>
        </w:rPr>
        <w:t>规定的</w:t>
      </w:r>
      <w:r>
        <w:rPr>
          <w:rFonts w:hint="eastAsia"/>
          <w:color w:val="auto"/>
          <w:lang w:val="en-US" w:eastAsia="zh-CN"/>
        </w:rPr>
        <w:t>专升本</w:t>
      </w:r>
      <w:r>
        <w:rPr>
          <w:color w:val="auto"/>
        </w:rPr>
        <w:t>最低毕业总学分</w:t>
      </w:r>
      <w:r>
        <w:rPr>
          <w:rFonts w:hint="eastAsia"/>
          <w:color w:val="auto"/>
          <w:lang w:val="en-US" w:eastAsia="zh-CN"/>
        </w:rPr>
        <w:t>为80</w:t>
      </w:r>
      <w:r>
        <w:rPr>
          <w:color w:val="auto"/>
        </w:rPr>
        <w:t>学分，其中：</w:t>
      </w:r>
    </w:p>
    <w:p>
      <w:pPr>
        <w:pStyle w:val="21"/>
        <w:bidi w:val="0"/>
        <w:rPr>
          <w:rFonts w:hint="eastAsia"/>
          <w:color w:val="auto"/>
        </w:rPr>
      </w:pPr>
      <w:r>
        <w:rPr>
          <w:rFonts w:hint="eastAsia"/>
          <w:color w:val="auto"/>
        </w:rPr>
        <w:t>公共</w:t>
      </w:r>
      <w:r>
        <w:rPr>
          <w:rFonts w:hint="eastAsia"/>
          <w:color w:val="auto"/>
          <w:lang w:val="en-US" w:eastAsia="zh-CN"/>
        </w:rPr>
        <w:t>教育3学分</w:t>
      </w:r>
      <w:r>
        <w:rPr>
          <w:rFonts w:hint="eastAsia"/>
          <w:color w:val="auto"/>
        </w:rPr>
        <w:t>；专业必修课</w:t>
      </w:r>
      <w:r>
        <w:rPr>
          <w:rFonts w:hint="eastAsia"/>
          <w:color w:val="auto"/>
          <w:lang w:val="en-US" w:eastAsia="zh-CN"/>
        </w:rPr>
        <w:t>52</w:t>
      </w:r>
      <w:r>
        <w:rPr>
          <w:rFonts w:hint="eastAsia"/>
          <w:color w:val="auto"/>
        </w:rPr>
        <w:t>学分，其中毕业论文</w:t>
      </w:r>
      <w:r>
        <w:rPr>
          <w:rFonts w:hint="eastAsia"/>
          <w:color w:val="auto"/>
          <w:lang w:val="en-US" w:eastAsia="zh-CN"/>
        </w:rPr>
        <w:t>/设计4</w:t>
      </w:r>
      <w:r>
        <w:rPr>
          <w:rFonts w:hint="eastAsia"/>
          <w:color w:val="auto"/>
        </w:rPr>
        <w:t>学分</w:t>
      </w:r>
      <w:r>
        <w:rPr>
          <w:rFonts w:hint="eastAsia"/>
          <w:color w:val="auto"/>
          <w:lang w:eastAsia="zh-CN"/>
        </w:rPr>
        <w:t>，</w:t>
      </w:r>
      <w:r>
        <w:rPr>
          <w:rFonts w:hint="eastAsia"/>
          <w:color w:val="auto"/>
          <w:lang w:val="en-US" w:eastAsia="zh-CN"/>
        </w:rPr>
        <w:t>劳动教育课4学分</w:t>
      </w:r>
      <w:r>
        <w:rPr>
          <w:rFonts w:hint="eastAsia"/>
          <w:color w:val="auto"/>
        </w:rPr>
        <w:t>；专业选修课</w:t>
      </w:r>
      <w:r>
        <w:rPr>
          <w:rFonts w:hint="eastAsia"/>
          <w:color w:val="auto"/>
          <w:lang w:val="en-US" w:eastAsia="zh-CN"/>
        </w:rPr>
        <w:t>23</w:t>
      </w:r>
      <w:r>
        <w:rPr>
          <w:rFonts w:hint="eastAsia"/>
          <w:color w:val="auto"/>
        </w:rPr>
        <w:t>学分；成长</w:t>
      </w:r>
      <w:r>
        <w:rPr>
          <w:rFonts w:hint="eastAsia"/>
          <w:color w:val="auto"/>
          <w:lang w:val="en-US" w:eastAsia="zh-CN"/>
        </w:rPr>
        <w:t>教育</w:t>
      </w:r>
      <w:r>
        <w:rPr>
          <w:rFonts w:hint="eastAsia"/>
          <w:color w:val="auto"/>
        </w:rPr>
        <w:t>课</w:t>
      </w:r>
      <w:r>
        <w:rPr>
          <w:rFonts w:hint="eastAsia"/>
          <w:color w:val="auto"/>
          <w:lang w:val="en-US" w:eastAsia="zh-CN"/>
        </w:rPr>
        <w:t>2</w:t>
      </w:r>
      <w:r>
        <w:rPr>
          <w:rFonts w:hint="eastAsia"/>
          <w:color w:val="auto"/>
        </w:rPr>
        <w:t>学分。</w:t>
      </w:r>
    </w:p>
    <w:p>
      <w:pPr>
        <w:pStyle w:val="20"/>
        <w:bidi w:val="0"/>
        <w:rPr>
          <w:rFonts w:hint="default"/>
          <w:color w:val="auto"/>
          <w:lang w:val="en-US" w:eastAsia="zh-CN"/>
        </w:rPr>
      </w:pPr>
      <w:r>
        <w:rPr>
          <w:rFonts w:hint="eastAsia"/>
          <w:color w:val="auto"/>
          <w:lang w:val="en-US" w:eastAsia="zh-CN"/>
        </w:rPr>
        <w:t>（二）学位授予</w:t>
      </w:r>
    </w:p>
    <w:p>
      <w:pPr>
        <w:pStyle w:val="21"/>
        <w:bidi w:val="0"/>
        <w:rPr>
          <w:rFonts w:hint="eastAsia"/>
          <w:color w:val="auto"/>
          <w:lang w:val="en-US" w:eastAsia="zh-CN"/>
        </w:rPr>
      </w:pPr>
      <w:r>
        <w:rPr>
          <w:color w:val="auto"/>
        </w:rPr>
        <w:t>在取得毕业资格的前提下，</w:t>
      </w:r>
      <w:r>
        <w:rPr>
          <w:rFonts w:hint="eastAsia"/>
          <w:color w:val="auto"/>
        </w:rPr>
        <w:t>按现行的绩点制，</w:t>
      </w:r>
      <w:r>
        <w:rPr>
          <w:rFonts w:hint="eastAsia"/>
          <w:color w:val="auto"/>
          <w:lang w:val="en-US" w:eastAsia="zh-CN"/>
        </w:rPr>
        <w:t>学生</w:t>
      </w:r>
      <w:r>
        <w:rPr>
          <w:rFonts w:hint="eastAsia"/>
          <w:color w:val="auto"/>
        </w:rPr>
        <w:t>必修课、专业选修课的平均</w:t>
      </w:r>
      <w:commentRangeStart w:id="19"/>
      <w:r>
        <w:rPr>
          <w:rFonts w:hint="eastAsia"/>
          <w:color w:val="auto"/>
        </w:rPr>
        <w:t>学分绩点达到2.0</w:t>
      </w:r>
      <w:commentRangeEnd w:id="19"/>
      <w:r>
        <w:rPr>
          <w:color w:val="auto"/>
        </w:rPr>
        <w:commentReference w:id="19"/>
      </w:r>
      <w:r>
        <w:rPr>
          <w:rFonts w:hint="eastAsia"/>
          <w:color w:val="auto"/>
        </w:rPr>
        <w:t>及以上者，可授予文学学士学位。</w:t>
      </w:r>
      <w:commentRangeEnd w:id="18"/>
      <w:r>
        <w:rPr>
          <w:color w:val="auto"/>
        </w:rPr>
        <w:commentReference w:id="18"/>
      </w:r>
    </w:p>
    <w:p>
      <w:pPr>
        <w:pStyle w:val="19"/>
        <w:bidi w:val="0"/>
        <w:rPr>
          <w:rFonts w:hint="default"/>
          <w:lang w:val="en-US" w:eastAsia="zh-CN"/>
        </w:rPr>
      </w:pPr>
      <w:r>
        <w:rPr>
          <w:rFonts w:hint="eastAsia"/>
          <w:lang w:val="en-US" w:eastAsia="zh-CN"/>
        </w:rPr>
        <w:t>七</w:t>
      </w:r>
      <w:r>
        <w:rPr>
          <w:rFonts w:hint="default"/>
          <w:lang w:val="en-US" w:eastAsia="zh-CN"/>
        </w:rPr>
        <w:t>、专升本公共教育课程计划进程表</w:t>
      </w:r>
    </w:p>
    <w:p>
      <w:pPr>
        <w:pStyle w:val="8"/>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请详见表一。</w:t>
      </w:r>
    </w:p>
    <w:p>
      <w:pPr>
        <w:pStyle w:val="19"/>
        <w:bidi w:val="0"/>
        <w:rPr>
          <w:rFonts w:hint="default"/>
          <w:lang w:val="en-US" w:eastAsia="zh-CN"/>
        </w:rPr>
      </w:pPr>
      <w:r>
        <w:rPr>
          <w:rFonts w:hint="eastAsia"/>
          <w:lang w:val="en-US" w:eastAsia="zh-CN"/>
        </w:rPr>
        <w:t>八</w:t>
      </w:r>
      <w:r>
        <w:rPr>
          <w:rFonts w:hint="default"/>
          <w:lang w:val="en-US" w:eastAsia="zh-CN"/>
        </w:rPr>
        <w:t>、专升本专业教育课程计划进程表</w:t>
      </w:r>
    </w:p>
    <w:p>
      <w:pPr>
        <w:pStyle w:val="8"/>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楷体" w:hAnsi="楷体" w:eastAsia="楷体" w:cs="楷体"/>
          <w:b w:val="0"/>
          <w:bCs w:val="0"/>
          <w:color w:val="auto"/>
          <w:kern w:val="2"/>
          <w:sz w:val="24"/>
          <w:szCs w:val="24"/>
          <w:lang w:val="en-US" w:eastAsia="zh-CN" w:bidi="ar-SA"/>
        </w:rPr>
      </w:pPr>
      <w:r>
        <w:rPr>
          <w:rFonts w:hint="default" w:ascii="楷体" w:hAnsi="楷体" w:eastAsia="楷体" w:cs="楷体"/>
          <w:b w:val="0"/>
          <w:bCs w:val="0"/>
          <w:color w:val="auto"/>
          <w:kern w:val="2"/>
          <w:sz w:val="24"/>
          <w:szCs w:val="24"/>
          <w:lang w:val="en-US" w:eastAsia="zh-CN" w:bidi="ar-SA"/>
        </w:rPr>
        <w:t>请详见表二。</w:t>
      </w:r>
    </w:p>
    <w:p>
      <w:pPr>
        <w:pStyle w:val="19"/>
        <w:bidi w:val="0"/>
        <w:rPr>
          <w:rFonts w:hint="default"/>
          <w:lang w:val="en-US" w:eastAsia="zh-CN"/>
        </w:rPr>
      </w:pPr>
      <w:r>
        <w:rPr>
          <w:rFonts w:hint="eastAsia"/>
          <w:lang w:val="en-US" w:eastAsia="zh-CN"/>
        </w:rPr>
        <w:t>九</w:t>
      </w:r>
      <w:r>
        <w:rPr>
          <w:rFonts w:hint="default"/>
          <w:lang w:val="en-US" w:eastAsia="zh-CN"/>
        </w:rPr>
        <w:t>、专升本成长教育课程计划进程表</w:t>
      </w:r>
    </w:p>
    <w:p>
      <w:pPr>
        <w:pStyle w:val="8"/>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楷体" w:hAnsi="楷体" w:eastAsia="楷体" w:cs="楷体"/>
          <w:b w:val="0"/>
          <w:bCs w:val="0"/>
          <w:color w:val="auto"/>
          <w:kern w:val="2"/>
          <w:sz w:val="24"/>
          <w:szCs w:val="24"/>
          <w:lang w:val="en-US" w:eastAsia="zh-CN" w:bidi="ar-SA"/>
        </w:rPr>
      </w:pPr>
      <w:r>
        <w:rPr>
          <w:rFonts w:hint="default" w:ascii="楷体" w:hAnsi="楷体" w:eastAsia="楷体" w:cs="楷体"/>
          <w:b w:val="0"/>
          <w:bCs w:val="0"/>
          <w:color w:val="auto"/>
          <w:kern w:val="2"/>
          <w:sz w:val="24"/>
          <w:szCs w:val="24"/>
          <w:lang w:val="en-US" w:eastAsia="zh-CN" w:bidi="ar-SA"/>
        </w:rPr>
        <w:t>请详见表</w:t>
      </w:r>
      <w:r>
        <w:rPr>
          <w:rFonts w:hint="eastAsia" w:ascii="楷体" w:hAnsi="楷体" w:eastAsia="楷体" w:cs="楷体"/>
          <w:b w:val="0"/>
          <w:bCs w:val="0"/>
          <w:color w:val="auto"/>
          <w:kern w:val="2"/>
          <w:sz w:val="24"/>
          <w:szCs w:val="24"/>
          <w:lang w:val="en-US" w:eastAsia="zh-CN" w:bidi="ar-SA"/>
        </w:rPr>
        <w:t>三</w:t>
      </w:r>
      <w:r>
        <w:rPr>
          <w:rFonts w:hint="default" w:ascii="楷体" w:hAnsi="楷体" w:eastAsia="楷体" w:cs="楷体"/>
          <w:b w:val="0"/>
          <w:bCs w:val="0"/>
          <w:color w:val="auto"/>
          <w:kern w:val="2"/>
          <w:sz w:val="24"/>
          <w:szCs w:val="24"/>
          <w:lang w:val="en-US" w:eastAsia="zh-CN" w:bidi="ar-SA"/>
        </w:rPr>
        <w:t>。</w:t>
      </w:r>
    </w:p>
    <w:p>
      <w:pPr>
        <w:pStyle w:val="20"/>
        <w:pageBreakBefore w:val="0"/>
        <w:kinsoku/>
        <w:wordWrap/>
        <w:overflowPunct/>
        <w:topLinePunct w:val="0"/>
        <w:autoSpaceDE/>
        <w:autoSpaceDN/>
        <w:bidi w:val="0"/>
        <w:adjustRightInd/>
        <w:snapToGrid/>
        <w:spacing w:line="360" w:lineRule="exact"/>
        <w:ind w:firstLine="0" w:firstLineChars="0"/>
        <w:rPr>
          <w:rFonts w:hint="eastAsia"/>
          <w:lang w:val="en-US" w:eastAsia="zh-CN"/>
        </w:rPr>
      </w:pPr>
      <w:r>
        <w:rPr>
          <w:rFonts w:hint="eastAsia"/>
          <w:lang w:val="en-US" w:eastAsia="zh-CN"/>
        </w:rPr>
        <w:t>表一</w:t>
      </w:r>
    </w:p>
    <w:p>
      <w:pPr>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bCs/>
        </w:rPr>
      </w:pPr>
      <w:r>
        <w:rPr>
          <w:rFonts w:hint="default" w:ascii="宋体" w:hAnsi="宋体" w:eastAsia="宋体" w:cs="宋体"/>
          <w:b/>
          <w:bCs/>
          <w:lang w:val="en-US" w:eastAsia="zh-CN"/>
        </w:rPr>
        <w:t>专升本公共教育课程计划进程</w:t>
      </w:r>
      <w:r>
        <w:rPr>
          <w:rFonts w:hint="eastAsia" w:ascii="宋体" w:hAnsi="宋体" w:eastAsia="宋体" w:cs="宋体"/>
          <w:b/>
          <w:bCs/>
        </w:rPr>
        <w:t>表</w:t>
      </w:r>
    </w:p>
    <w:tbl>
      <w:tblPr>
        <w:tblStyle w:val="13"/>
        <w:tblW w:w="498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2"/>
        <w:gridCol w:w="511"/>
        <w:gridCol w:w="1120"/>
        <w:gridCol w:w="1185"/>
        <w:gridCol w:w="521"/>
        <w:gridCol w:w="566"/>
        <w:gridCol w:w="627"/>
        <w:gridCol w:w="554"/>
        <w:gridCol w:w="521"/>
        <w:gridCol w:w="475"/>
        <w:gridCol w:w="519"/>
        <w:gridCol w:w="515"/>
        <w:gridCol w:w="495"/>
        <w:gridCol w:w="504"/>
        <w:gridCol w:w="463"/>
        <w:gridCol w:w="5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00" w:hRule="atLeast"/>
          <w:tblHeader/>
        </w:trPr>
        <w:tc>
          <w:tcPr>
            <w:tcW w:w="609" w:type="pct"/>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楷体" w:cs="Times New Roman"/>
                <w:b/>
                <w:bCs/>
                <w:i w:val="0"/>
                <w:iCs w:val="0"/>
                <w:color w:val="000000"/>
                <w:sz w:val="21"/>
                <w:szCs w:val="21"/>
                <w:u w:val="none"/>
              </w:rPr>
            </w:pPr>
            <w:r>
              <w:rPr>
                <w:rFonts w:hint="default" w:ascii="Times New Roman" w:hAnsi="Times New Roman" w:eastAsia="楷体" w:cs="Times New Roman"/>
                <w:b/>
                <w:bCs/>
                <w:i w:val="0"/>
                <w:iCs w:val="0"/>
                <w:color w:val="000000"/>
                <w:kern w:val="0"/>
                <w:sz w:val="21"/>
                <w:szCs w:val="21"/>
                <w:u w:val="none"/>
                <w:lang w:val="en-US" w:eastAsia="zh-CN" w:bidi="ar"/>
              </w:rPr>
              <w:t>课程性质</w:t>
            </w:r>
          </w:p>
        </w:tc>
        <w:tc>
          <w:tcPr>
            <w:tcW w:w="571" w:type="pct"/>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楷体" w:cs="Times New Roman"/>
                <w:b/>
                <w:bCs/>
                <w:i w:val="0"/>
                <w:iCs w:val="0"/>
                <w:color w:val="000000"/>
                <w:sz w:val="21"/>
                <w:szCs w:val="21"/>
                <w:u w:val="none"/>
              </w:rPr>
            </w:pPr>
            <w:r>
              <w:rPr>
                <w:rFonts w:hint="default" w:ascii="Times New Roman" w:hAnsi="Times New Roman" w:eastAsia="楷体" w:cs="Times New Roman"/>
                <w:b/>
                <w:bCs/>
                <w:i w:val="0"/>
                <w:iCs w:val="0"/>
                <w:color w:val="000000"/>
                <w:kern w:val="0"/>
                <w:sz w:val="21"/>
                <w:szCs w:val="21"/>
                <w:u w:val="none"/>
                <w:lang w:val="en-US" w:eastAsia="zh-CN" w:bidi="ar"/>
              </w:rPr>
              <w:t>课程中文名称</w:t>
            </w:r>
          </w:p>
        </w:tc>
        <w:tc>
          <w:tcPr>
            <w:tcW w:w="590" w:type="pct"/>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楷体" w:cs="Times New Roman"/>
                <w:b/>
                <w:bCs/>
                <w:i w:val="0"/>
                <w:iCs w:val="0"/>
                <w:color w:val="000000"/>
                <w:sz w:val="21"/>
                <w:szCs w:val="21"/>
                <w:u w:val="none"/>
              </w:rPr>
            </w:pPr>
            <w:r>
              <w:rPr>
                <w:rFonts w:hint="default" w:ascii="Times New Roman" w:hAnsi="Times New Roman" w:eastAsia="楷体" w:cs="Times New Roman"/>
                <w:b/>
                <w:bCs/>
                <w:i w:val="0"/>
                <w:iCs w:val="0"/>
                <w:color w:val="000000"/>
                <w:kern w:val="0"/>
                <w:sz w:val="21"/>
                <w:szCs w:val="21"/>
                <w:u w:val="none"/>
                <w:lang w:val="en-US" w:eastAsia="zh-CN" w:bidi="ar"/>
              </w:rPr>
              <w:t>课程英文名称</w:t>
            </w:r>
          </w:p>
        </w:tc>
        <w:tc>
          <w:tcPr>
            <w:tcW w:w="1158" w:type="pct"/>
            <w:gridSpan w:val="4"/>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楷体" w:cs="Times New Roman"/>
                <w:b/>
                <w:bCs/>
                <w:i w:val="0"/>
                <w:iCs w:val="0"/>
                <w:color w:val="000000"/>
                <w:sz w:val="21"/>
                <w:szCs w:val="21"/>
                <w:u w:val="none"/>
              </w:rPr>
            </w:pPr>
            <w:r>
              <w:rPr>
                <w:rFonts w:hint="default" w:ascii="Times New Roman" w:hAnsi="Times New Roman" w:eastAsia="楷体" w:cs="Times New Roman"/>
                <w:b/>
                <w:bCs/>
                <w:i w:val="0"/>
                <w:iCs w:val="0"/>
                <w:color w:val="000000"/>
                <w:kern w:val="0"/>
                <w:sz w:val="21"/>
                <w:szCs w:val="21"/>
                <w:u w:val="none"/>
                <w:lang w:val="en-US" w:eastAsia="zh-CN" w:bidi="ar"/>
              </w:rPr>
              <w:t>课程学时、学分及分配</w:t>
            </w:r>
          </w:p>
        </w:tc>
        <w:tc>
          <w:tcPr>
            <w:tcW w:w="2069" w:type="pct"/>
            <w:gridSpan w:val="8"/>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楷体" w:cs="Times New Roman"/>
                <w:b/>
                <w:bCs/>
                <w:i w:val="0"/>
                <w:iCs w:val="0"/>
                <w:color w:val="000000"/>
                <w:sz w:val="21"/>
                <w:szCs w:val="21"/>
                <w:u w:val="none"/>
              </w:rPr>
            </w:pPr>
            <w:r>
              <w:rPr>
                <w:rFonts w:hint="default" w:ascii="Times New Roman" w:hAnsi="Times New Roman" w:eastAsia="楷体" w:cs="Times New Roman"/>
                <w:b/>
                <w:bCs/>
                <w:i w:val="0"/>
                <w:iCs w:val="0"/>
                <w:color w:val="000000"/>
                <w:kern w:val="0"/>
                <w:sz w:val="21"/>
                <w:szCs w:val="21"/>
                <w:u w:val="none"/>
                <w:lang w:val="en-US" w:eastAsia="zh-CN" w:bidi="ar"/>
              </w:rPr>
              <w:t>各学年、学期每周课内学时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5" w:hRule="atLeast"/>
          <w:tblHeader/>
        </w:trPr>
        <w:tc>
          <w:tcPr>
            <w:tcW w:w="609" w:type="pct"/>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楷体" w:cs="Times New Roman"/>
                <w:b/>
                <w:bCs/>
                <w:i w:val="0"/>
                <w:iCs w:val="0"/>
                <w:color w:val="000000"/>
                <w:sz w:val="21"/>
                <w:szCs w:val="21"/>
                <w:u w:val="none"/>
              </w:rPr>
            </w:pPr>
          </w:p>
        </w:tc>
        <w:tc>
          <w:tcPr>
            <w:tcW w:w="571" w:type="pct"/>
            <w:vMerge w:val="continue"/>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楷体" w:cs="Times New Roman"/>
                <w:b/>
                <w:bCs/>
                <w:i w:val="0"/>
                <w:iCs w:val="0"/>
                <w:color w:val="000000"/>
                <w:sz w:val="21"/>
                <w:szCs w:val="21"/>
                <w:u w:val="none"/>
              </w:rPr>
            </w:pPr>
          </w:p>
        </w:tc>
        <w:tc>
          <w:tcPr>
            <w:tcW w:w="590" w:type="pct"/>
            <w:vMerge w:val="continue"/>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楷体" w:cs="Times New Roman"/>
                <w:b/>
                <w:bCs/>
                <w:i w:val="0"/>
                <w:iCs w:val="0"/>
                <w:color w:val="000000"/>
                <w:sz w:val="21"/>
                <w:szCs w:val="21"/>
                <w:u w:val="none"/>
              </w:rPr>
            </w:pPr>
          </w:p>
        </w:tc>
        <w:tc>
          <w:tcPr>
            <w:tcW w:w="266" w:type="pct"/>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楷体" w:cs="Times New Roman"/>
                <w:b/>
                <w:bCs/>
                <w:i w:val="0"/>
                <w:iCs w:val="0"/>
                <w:color w:val="000000"/>
                <w:sz w:val="21"/>
                <w:szCs w:val="21"/>
                <w:u w:val="none"/>
              </w:rPr>
            </w:pPr>
            <w:r>
              <w:rPr>
                <w:rFonts w:hint="default" w:ascii="Times New Roman" w:hAnsi="Times New Roman" w:eastAsia="楷体" w:cs="Times New Roman"/>
                <w:b/>
                <w:bCs/>
                <w:i w:val="0"/>
                <w:iCs w:val="0"/>
                <w:color w:val="000000"/>
                <w:kern w:val="0"/>
                <w:sz w:val="21"/>
                <w:szCs w:val="21"/>
                <w:u w:val="none"/>
                <w:lang w:val="en-US" w:eastAsia="zh-CN" w:bidi="ar"/>
              </w:rPr>
              <w:t>学分</w:t>
            </w:r>
          </w:p>
        </w:tc>
        <w:tc>
          <w:tcPr>
            <w:tcW w:w="289" w:type="pct"/>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楷体" w:cs="Times New Roman"/>
                <w:b/>
                <w:bCs/>
                <w:i w:val="0"/>
                <w:iCs w:val="0"/>
                <w:color w:val="000000"/>
                <w:sz w:val="21"/>
                <w:szCs w:val="21"/>
                <w:u w:val="none"/>
              </w:rPr>
            </w:pPr>
            <w:r>
              <w:rPr>
                <w:rFonts w:hint="default" w:ascii="Times New Roman" w:hAnsi="Times New Roman" w:eastAsia="楷体" w:cs="Times New Roman"/>
                <w:b/>
                <w:bCs/>
                <w:i w:val="0"/>
                <w:iCs w:val="0"/>
                <w:color w:val="000000"/>
                <w:kern w:val="0"/>
                <w:sz w:val="21"/>
                <w:szCs w:val="21"/>
                <w:u w:val="none"/>
                <w:lang w:val="en-US" w:eastAsia="zh-CN" w:bidi="ar"/>
              </w:rPr>
              <w:t>总学时</w:t>
            </w:r>
          </w:p>
        </w:tc>
        <w:tc>
          <w:tcPr>
            <w:tcW w:w="320" w:type="pct"/>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楷体" w:cs="Times New Roman"/>
                <w:b/>
                <w:bCs/>
                <w:i w:val="0"/>
                <w:iCs w:val="0"/>
                <w:color w:val="000000"/>
                <w:sz w:val="21"/>
                <w:szCs w:val="21"/>
                <w:u w:val="none"/>
              </w:rPr>
            </w:pPr>
            <w:r>
              <w:rPr>
                <w:rFonts w:hint="default" w:ascii="Times New Roman" w:hAnsi="Times New Roman" w:eastAsia="楷体" w:cs="Times New Roman"/>
                <w:b/>
                <w:bCs/>
                <w:i w:val="0"/>
                <w:iCs w:val="0"/>
                <w:color w:val="000000"/>
                <w:kern w:val="0"/>
                <w:sz w:val="21"/>
                <w:szCs w:val="21"/>
                <w:u w:val="none"/>
                <w:lang w:val="en-US" w:eastAsia="zh-CN" w:bidi="ar"/>
              </w:rPr>
              <w:t>讲授学时</w:t>
            </w:r>
          </w:p>
        </w:tc>
        <w:tc>
          <w:tcPr>
            <w:tcW w:w="283" w:type="pct"/>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楷体" w:cs="Times New Roman"/>
                <w:b/>
                <w:bCs/>
                <w:i w:val="0"/>
                <w:iCs w:val="0"/>
                <w:color w:val="000000"/>
                <w:sz w:val="21"/>
                <w:szCs w:val="21"/>
                <w:u w:val="none"/>
              </w:rPr>
            </w:pPr>
            <w:r>
              <w:rPr>
                <w:rFonts w:hint="default" w:ascii="Times New Roman" w:hAnsi="Times New Roman" w:eastAsia="楷体" w:cs="Times New Roman"/>
                <w:b/>
                <w:bCs/>
                <w:i w:val="0"/>
                <w:iCs w:val="0"/>
                <w:color w:val="000000"/>
                <w:kern w:val="0"/>
                <w:sz w:val="21"/>
                <w:szCs w:val="21"/>
                <w:u w:val="none"/>
                <w:lang w:val="en-US" w:eastAsia="zh-CN" w:bidi="ar"/>
              </w:rPr>
              <w:t>实践学时</w:t>
            </w:r>
          </w:p>
        </w:tc>
        <w:tc>
          <w:tcPr>
            <w:tcW w:w="509" w:type="pct"/>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楷体" w:cs="Times New Roman"/>
                <w:b/>
                <w:bCs/>
                <w:i w:val="0"/>
                <w:iCs w:val="0"/>
                <w:color w:val="000000"/>
                <w:sz w:val="21"/>
                <w:szCs w:val="21"/>
                <w:u w:val="none"/>
              </w:rPr>
            </w:pPr>
            <w:r>
              <w:rPr>
                <w:rFonts w:hint="default" w:ascii="Times New Roman" w:hAnsi="Times New Roman" w:eastAsia="楷体" w:cs="Times New Roman"/>
                <w:b/>
                <w:bCs/>
                <w:i w:val="0"/>
                <w:iCs w:val="0"/>
                <w:color w:val="000000"/>
                <w:kern w:val="0"/>
                <w:sz w:val="21"/>
                <w:szCs w:val="21"/>
                <w:u w:val="none"/>
                <w:lang w:val="en-US" w:eastAsia="zh-CN" w:bidi="ar"/>
              </w:rPr>
              <w:t>1学年</w:t>
            </w:r>
          </w:p>
        </w:tc>
        <w:tc>
          <w:tcPr>
            <w:tcW w:w="528" w:type="pct"/>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楷体" w:cs="Times New Roman"/>
                <w:b/>
                <w:bCs/>
                <w:i w:val="0"/>
                <w:iCs w:val="0"/>
                <w:color w:val="000000"/>
                <w:sz w:val="21"/>
                <w:szCs w:val="21"/>
                <w:u w:val="none"/>
              </w:rPr>
            </w:pPr>
            <w:r>
              <w:rPr>
                <w:rFonts w:hint="default" w:ascii="Times New Roman" w:hAnsi="Times New Roman" w:eastAsia="楷体" w:cs="Times New Roman"/>
                <w:b/>
                <w:bCs/>
                <w:i w:val="0"/>
                <w:iCs w:val="0"/>
                <w:color w:val="000000"/>
                <w:kern w:val="0"/>
                <w:sz w:val="21"/>
                <w:szCs w:val="21"/>
                <w:u w:val="none"/>
                <w:lang w:val="en-US" w:eastAsia="zh-CN" w:bidi="ar"/>
              </w:rPr>
              <w:t>2学年</w:t>
            </w:r>
          </w:p>
        </w:tc>
        <w:tc>
          <w:tcPr>
            <w:tcW w:w="510" w:type="pct"/>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楷体" w:cs="Times New Roman"/>
                <w:b/>
                <w:bCs/>
                <w:i w:val="0"/>
                <w:iCs w:val="0"/>
                <w:color w:val="000000"/>
                <w:sz w:val="21"/>
                <w:szCs w:val="21"/>
                <w:u w:val="none"/>
              </w:rPr>
            </w:pPr>
            <w:r>
              <w:rPr>
                <w:rFonts w:hint="default" w:ascii="Times New Roman" w:hAnsi="Times New Roman" w:eastAsia="楷体" w:cs="Times New Roman"/>
                <w:b/>
                <w:bCs/>
                <w:i w:val="0"/>
                <w:iCs w:val="0"/>
                <w:color w:val="000000"/>
                <w:kern w:val="0"/>
                <w:sz w:val="21"/>
                <w:szCs w:val="21"/>
                <w:u w:val="none"/>
                <w:lang w:val="en-US" w:eastAsia="zh-CN" w:bidi="ar"/>
              </w:rPr>
              <w:t>3学年</w:t>
            </w:r>
          </w:p>
        </w:tc>
        <w:tc>
          <w:tcPr>
            <w:tcW w:w="521" w:type="pct"/>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楷体" w:cs="Times New Roman"/>
                <w:b/>
                <w:bCs/>
                <w:i w:val="0"/>
                <w:iCs w:val="0"/>
                <w:color w:val="000000"/>
                <w:sz w:val="21"/>
                <w:szCs w:val="21"/>
                <w:u w:val="none"/>
              </w:rPr>
            </w:pPr>
            <w:r>
              <w:rPr>
                <w:rFonts w:hint="default" w:ascii="Times New Roman" w:hAnsi="Times New Roman" w:eastAsia="楷体" w:cs="Times New Roman"/>
                <w:b/>
                <w:bCs/>
                <w:i w:val="0"/>
                <w:iCs w:val="0"/>
                <w:color w:val="000000"/>
                <w:kern w:val="0"/>
                <w:sz w:val="21"/>
                <w:szCs w:val="21"/>
                <w:u w:val="none"/>
                <w:lang w:val="en-US" w:eastAsia="zh-CN" w:bidi="ar"/>
              </w:rPr>
              <w:t>4学年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00" w:hRule="atLeast"/>
          <w:tblHeader/>
        </w:trPr>
        <w:tc>
          <w:tcPr>
            <w:tcW w:w="609" w:type="pct"/>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楷体" w:cs="Times New Roman"/>
                <w:b/>
                <w:bCs/>
                <w:i w:val="0"/>
                <w:iCs w:val="0"/>
                <w:color w:val="000000"/>
                <w:sz w:val="21"/>
                <w:szCs w:val="21"/>
                <w:u w:val="none"/>
              </w:rPr>
            </w:pPr>
          </w:p>
        </w:tc>
        <w:tc>
          <w:tcPr>
            <w:tcW w:w="571" w:type="pct"/>
            <w:vMerge w:val="continue"/>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楷体" w:cs="Times New Roman"/>
                <w:b/>
                <w:bCs/>
                <w:i w:val="0"/>
                <w:iCs w:val="0"/>
                <w:color w:val="000000"/>
                <w:sz w:val="21"/>
                <w:szCs w:val="21"/>
                <w:u w:val="none"/>
              </w:rPr>
            </w:pPr>
          </w:p>
        </w:tc>
        <w:tc>
          <w:tcPr>
            <w:tcW w:w="590" w:type="pct"/>
            <w:vMerge w:val="continue"/>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楷体" w:cs="Times New Roman"/>
                <w:b/>
                <w:bCs/>
                <w:i w:val="0"/>
                <w:iCs w:val="0"/>
                <w:color w:val="000000"/>
                <w:sz w:val="21"/>
                <w:szCs w:val="21"/>
                <w:u w:val="none"/>
              </w:rPr>
            </w:pPr>
          </w:p>
        </w:tc>
        <w:tc>
          <w:tcPr>
            <w:tcW w:w="266" w:type="pct"/>
            <w:vMerge w:val="continue"/>
            <w:tcBorders>
              <w:top w:val="nil"/>
              <w:left w:val="nil"/>
              <w:bottom w:val="single" w:color="000000" w:sz="8" w:space="0"/>
              <w:right w:val="single" w:color="000000" w:sz="8" w:space="0"/>
            </w:tcBorders>
            <w:shd w:val="clear" w:color="auto" w:fill="auto"/>
            <w:vAlign w:val="center"/>
          </w:tcPr>
          <w:p>
            <w:pPr>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楷体" w:cs="Times New Roman"/>
                <w:b/>
                <w:bCs/>
                <w:i w:val="0"/>
                <w:iCs w:val="0"/>
                <w:color w:val="000000"/>
                <w:sz w:val="21"/>
                <w:szCs w:val="21"/>
                <w:u w:val="none"/>
              </w:rPr>
            </w:pPr>
          </w:p>
        </w:tc>
        <w:tc>
          <w:tcPr>
            <w:tcW w:w="289" w:type="pct"/>
            <w:vMerge w:val="continue"/>
            <w:tcBorders>
              <w:top w:val="nil"/>
              <w:left w:val="nil"/>
              <w:bottom w:val="single" w:color="000000" w:sz="8" w:space="0"/>
              <w:right w:val="single" w:color="000000" w:sz="8" w:space="0"/>
            </w:tcBorders>
            <w:shd w:val="clear" w:color="auto" w:fill="auto"/>
            <w:vAlign w:val="center"/>
          </w:tcPr>
          <w:p>
            <w:pPr>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楷体" w:cs="Times New Roman"/>
                <w:b/>
                <w:bCs/>
                <w:i w:val="0"/>
                <w:iCs w:val="0"/>
                <w:color w:val="000000"/>
                <w:sz w:val="21"/>
                <w:szCs w:val="21"/>
                <w:u w:val="none"/>
              </w:rPr>
            </w:pPr>
          </w:p>
        </w:tc>
        <w:tc>
          <w:tcPr>
            <w:tcW w:w="320" w:type="pct"/>
            <w:vMerge w:val="continue"/>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楷体" w:cs="Times New Roman"/>
                <w:b/>
                <w:bCs/>
                <w:i w:val="0"/>
                <w:iCs w:val="0"/>
                <w:color w:val="000000"/>
                <w:sz w:val="21"/>
                <w:szCs w:val="21"/>
                <w:u w:val="none"/>
              </w:rPr>
            </w:pPr>
          </w:p>
        </w:tc>
        <w:tc>
          <w:tcPr>
            <w:tcW w:w="283" w:type="pct"/>
            <w:vMerge w:val="continue"/>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楷体" w:cs="Times New Roman"/>
                <w:b/>
                <w:bCs/>
                <w:i w:val="0"/>
                <w:iCs w:val="0"/>
                <w:color w:val="000000"/>
                <w:sz w:val="21"/>
                <w:szCs w:val="21"/>
                <w:u w:val="none"/>
              </w:rPr>
            </w:pPr>
          </w:p>
        </w:tc>
        <w:tc>
          <w:tcPr>
            <w:tcW w:w="26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楷体" w:cs="Times New Roman"/>
                <w:b/>
                <w:bCs/>
                <w:i w:val="0"/>
                <w:iCs w:val="0"/>
                <w:color w:val="000000"/>
                <w:sz w:val="21"/>
                <w:szCs w:val="21"/>
                <w:u w:val="none"/>
              </w:rPr>
            </w:pPr>
            <w:r>
              <w:rPr>
                <w:rFonts w:hint="default" w:ascii="Times New Roman" w:hAnsi="Times New Roman" w:eastAsia="楷体" w:cs="Times New Roman"/>
                <w:b/>
                <w:bCs/>
                <w:i w:val="0"/>
                <w:iCs w:val="0"/>
                <w:color w:val="000000"/>
                <w:kern w:val="0"/>
                <w:sz w:val="21"/>
                <w:szCs w:val="21"/>
                <w:u w:val="none"/>
                <w:lang w:val="en-US" w:eastAsia="zh-CN" w:bidi="ar"/>
              </w:rPr>
              <w:t>1</w:t>
            </w:r>
          </w:p>
        </w:tc>
        <w:tc>
          <w:tcPr>
            <w:tcW w:w="24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楷体" w:cs="Times New Roman"/>
                <w:b/>
                <w:bCs/>
                <w:i w:val="0"/>
                <w:iCs w:val="0"/>
                <w:color w:val="000000"/>
                <w:sz w:val="21"/>
                <w:szCs w:val="21"/>
                <w:u w:val="none"/>
              </w:rPr>
            </w:pPr>
            <w:r>
              <w:rPr>
                <w:rFonts w:hint="default" w:ascii="Times New Roman" w:hAnsi="Times New Roman" w:eastAsia="楷体" w:cs="Times New Roman"/>
                <w:b/>
                <w:bCs/>
                <w:i w:val="0"/>
                <w:iCs w:val="0"/>
                <w:color w:val="000000"/>
                <w:kern w:val="0"/>
                <w:sz w:val="21"/>
                <w:szCs w:val="21"/>
                <w:u w:val="none"/>
                <w:lang w:val="en-US" w:eastAsia="zh-CN" w:bidi="ar"/>
              </w:rPr>
              <w:t>2</w:t>
            </w:r>
          </w:p>
        </w:tc>
        <w:tc>
          <w:tcPr>
            <w:tcW w:w="26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楷体" w:cs="Times New Roman"/>
                <w:b/>
                <w:bCs/>
                <w:i w:val="0"/>
                <w:iCs w:val="0"/>
                <w:color w:val="000000"/>
                <w:sz w:val="21"/>
                <w:szCs w:val="21"/>
                <w:u w:val="none"/>
              </w:rPr>
            </w:pPr>
            <w:r>
              <w:rPr>
                <w:rFonts w:hint="default" w:ascii="Times New Roman" w:hAnsi="Times New Roman" w:eastAsia="楷体" w:cs="Times New Roman"/>
                <w:b/>
                <w:bCs/>
                <w:i w:val="0"/>
                <w:iCs w:val="0"/>
                <w:color w:val="000000"/>
                <w:kern w:val="0"/>
                <w:sz w:val="21"/>
                <w:szCs w:val="21"/>
                <w:u w:val="none"/>
                <w:lang w:val="en-US" w:eastAsia="zh-CN" w:bidi="ar"/>
              </w:rPr>
              <w:t>3</w:t>
            </w:r>
          </w:p>
        </w:tc>
        <w:tc>
          <w:tcPr>
            <w:tcW w:w="26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楷体" w:cs="Times New Roman"/>
                <w:b/>
                <w:bCs/>
                <w:i w:val="0"/>
                <w:iCs w:val="0"/>
                <w:color w:val="000000"/>
                <w:sz w:val="21"/>
                <w:szCs w:val="21"/>
                <w:u w:val="none"/>
              </w:rPr>
            </w:pPr>
            <w:r>
              <w:rPr>
                <w:rFonts w:hint="default" w:ascii="Times New Roman" w:hAnsi="Times New Roman" w:eastAsia="楷体" w:cs="Times New Roman"/>
                <w:b/>
                <w:bCs/>
                <w:i w:val="0"/>
                <w:iCs w:val="0"/>
                <w:color w:val="000000"/>
                <w:kern w:val="0"/>
                <w:sz w:val="21"/>
                <w:szCs w:val="21"/>
                <w:u w:val="none"/>
                <w:lang w:val="en-US" w:eastAsia="zh-CN" w:bidi="ar"/>
              </w:rPr>
              <w:t>4</w:t>
            </w:r>
          </w:p>
        </w:tc>
        <w:tc>
          <w:tcPr>
            <w:tcW w:w="253"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楷体" w:cs="Times New Roman"/>
                <w:b/>
                <w:bCs/>
                <w:i w:val="0"/>
                <w:iCs w:val="0"/>
                <w:color w:val="000000"/>
                <w:sz w:val="21"/>
                <w:szCs w:val="21"/>
                <w:u w:val="none"/>
              </w:rPr>
            </w:pPr>
            <w:r>
              <w:rPr>
                <w:rFonts w:hint="default" w:ascii="Times New Roman" w:hAnsi="Times New Roman" w:eastAsia="楷体" w:cs="Times New Roman"/>
                <w:b/>
                <w:bCs/>
                <w:i w:val="0"/>
                <w:iCs w:val="0"/>
                <w:color w:val="000000"/>
                <w:kern w:val="0"/>
                <w:sz w:val="21"/>
                <w:szCs w:val="21"/>
                <w:u w:val="none"/>
                <w:lang w:val="en-US" w:eastAsia="zh-CN" w:bidi="ar"/>
              </w:rPr>
              <w:t>5</w:t>
            </w:r>
          </w:p>
        </w:tc>
        <w:tc>
          <w:tcPr>
            <w:tcW w:w="257"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楷体" w:cs="Times New Roman"/>
                <w:b/>
                <w:bCs/>
                <w:i w:val="0"/>
                <w:iCs w:val="0"/>
                <w:color w:val="000000"/>
                <w:sz w:val="21"/>
                <w:szCs w:val="21"/>
                <w:u w:val="none"/>
              </w:rPr>
            </w:pPr>
            <w:r>
              <w:rPr>
                <w:rFonts w:hint="default" w:ascii="Times New Roman" w:hAnsi="Times New Roman" w:eastAsia="楷体" w:cs="Times New Roman"/>
                <w:b/>
                <w:bCs/>
                <w:i w:val="0"/>
                <w:iCs w:val="0"/>
                <w:color w:val="000000"/>
                <w:kern w:val="0"/>
                <w:sz w:val="21"/>
                <w:szCs w:val="21"/>
                <w:u w:val="none"/>
                <w:lang w:val="en-US" w:eastAsia="zh-CN" w:bidi="ar"/>
              </w:rPr>
              <w:t>6</w:t>
            </w:r>
          </w:p>
        </w:tc>
        <w:tc>
          <w:tcPr>
            <w:tcW w:w="23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楷体" w:cs="Times New Roman"/>
                <w:b/>
                <w:bCs/>
                <w:i w:val="0"/>
                <w:iCs w:val="0"/>
                <w:color w:val="000000"/>
                <w:sz w:val="21"/>
                <w:szCs w:val="21"/>
                <w:u w:val="none"/>
              </w:rPr>
            </w:pPr>
            <w:r>
              <w:rPr>
                <w:rFonts w:hint="default" w:ascii="Times New Roman" w:hAnsi="Times New Roman" w:eastAsia="楷体" w:cs="Times New Roman"/>
                <w:b/>
                <w:bCs/>
                <w:i w:val="0"/>
                <w:iCs w:val="0"/>
                <w:color w:val="000000"/>
                <w:kern w:val="0"/>
                <w:sz w:val="21"/>
                <w:szCs w:val="21"/>
                <w:u w:val="none"/>
                <w:lang w:val="en-US" w:eastAsia="zh-CN" w:bidi="ar"/>
              </w:rPr>
              <w:t>7</w:t>
            </w:r>
          </w:p>
        </w:tc>
        <w:tc>
          <w:tcPr>
            <w:tcW w:w="28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楷体" w:cs="Times New Roman"/>
                <w:b/>
                <w:bCs/>
                <w:i w:val="0"/>
                <w:iCs w:val="0"/>
                <w:color w:val="000000"/>
                <w:sz w:val="21"/>
                <w:szCs w:val="21"/>
                <w:u w:val="none"/>
              </w:rPr>
            </w:pPr>
            <w:r>
              <w:rPr>
                <w:rFonts w:hint="default" w:ascii="Times New Roman" w:hAnsi="Times New Roman" w:eastAsia="楷体" w:cs="Times New Roman"/>
                <w:b/>
                <w:bCs/>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79" w:hRule="atLeast"/>
        </w:trPr>
        <w:tc>
          <w:tcPr>
            <w:tcW w:w="348"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公共必修课</w:t>
            </w:r>
          </w:p>
        </w:tc>
        <w:tc>
          <w:tcPr>
            <w:tcW w:w="26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思政必修课</w:t>
            </w:r>
          </w:p>
        </w:tc>
        <w:tc>
          <w:tcPr>
            <w:tcW w:w="5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形势与政策</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59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Situation and Policy </w:t>
            </w:r>
          </w:p>
        </w:tc>
        <w:tc>
          <w:tcPr>
            <w:tcW w:w="26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8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32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8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66" w:type="pct"/>
            <w:tcBorders>
              <w:top w:val="single" w:color="000000" w:sz="8" w:space="0"/>
              <w:left w:val="single" w:color="000000" w:sz="8" w:space="0"/>
              <w:bottom w:val="single" w:color="000000" w:sz="8" w:space="0"/>
              <w:right w:val="single" w:color="000000" w:sz="8" w:space="0"/>
            </w:tcBorders>
            <w:shd w:val="clear" w:color="auto" w:fill="auto"/>
            <w:vAlign w:val="center"/>
          </w:tcPr>
          <w:p>
            <w:pPr>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宋体" w:cs="Times New Roman"/>
                <w:i w:val="0"/>
                <w:iCs w:val="0"/>
                <w:color w:val="000000"/>
                <w:sz w:val="21"/>
                <w:szCs w:val="21"/>
                <w:u w:val="none"/>
              </w:rPr>
            </w:pPr>
          </w:p>
        </w:tc>
        <w:tc>
          <w:tcPr>
            <w:tcW w:w="242" w:type="pct"/>
            <w:tcBorders>
              <w:top w:val="single" w:color="000000" w:sz="8" w:space="0"/>
              <w:left w:val="single" w:color="000000" w:sz="8" w:space="0"/>
              <w:bottom w:val="single" w:color="000000" w:sz="8" w:space="0"/>
              <w:right w:val="single" w:color="000000" w:sz="8" w:space="0"/>
            </w:tcBorders>
            <w:shd w:val="clear" w:color="auto" w:fill="auto"/>
            <w:vAlign w:val="center"/>
          </w:tcPr>
          <w:p>
            <w:pPr>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宋体" w:cs="Times New Roman"/>
                <w:i w:val="0"/>
                <w:iCs w:val="0"/>
                <w:color w:val="000000"/>
                <w:sz w:val="21"/>
                <w:szCs w:val="21"/>
                <w:u w:val="none"/>
              </w:rPr>
            </w:pPr>
          </w:p>
        </w:tc>
        <w:tc>
          <w:tcPr>
            <w:tcW w:w="265" w:type="pct"/>
            <w:tcBorders>
              <w:top w:val="single" w:color="000000" w:sz="8" w:space="0"/>
              <w:left w:val="single" w:color="000000" w:sz="8" w:space="0"/>
              <w:bottom w:val="single" w:color="000000" w:sz="8" w:space="0"/>
              <w:right w:val="single" w:color="000000" w:sz="8" w:space="0"/>
            </w:tcBorders>
            <w:shd w:val="clear" w:color="auto" w:fill="auto"/>
            <w:vAlign w:val="center"/>
          </w:tcPr>
          <w:p>
            <w:pPr>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宋体" w:cs="Times New Roman"/>
                <w:i w:val="0"/>
                <w:iCs w:val="0"/>
                <w:color w:val="000000"/>
                <w:sz w:val="21"/>
                <w:szCs w:val="21"/>
                <w:u w:val="none"/>
              </w:rPr>
            </w:pPr>
          </w:p>
        </w:tc>
        <w:tc>
          <w:tcPr>
            <w:tcW w:w="263" w:type="pct"/>
            <w:tcBorders>
              <w:top w:val="single" w:color="000000" w:sz="8" w:space="0"/>
              <w:left w:val="single" w:color="000000" w:sz="8" w:space="0"/>
              <w:bottom w:val="single" w:color="000000" w:sz="8" w:space="0"/>
              <w:right w:val="single" w:color="000000" w:sz="8" w:space="0"/>
            </w:tcBorders>
            <w:shd w:val="clear" w:color="auto" w:fill="auto"/>
            <w:vAlign w:val="center"/>
          </w:tcPr>
          <w:p>
            <w:pPr>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宋体" w:cs="Times New Roman"/>
                <w:i w:val="0"/>
                <w:iCs w:val="0"/>
                <w:color w:val="000000"/>
                <w:sz w:val="21"/>
                <w:szCs w:val="21"/>
                <w:u w:val="none"/>
              </w:rPr>
            </w:pPr>
          </w:p>
        </w:tc>
        <w:tc>
          <w:tcPr>
            <w:tcW w:w="25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57" w:type="pct"/>
            <w:tcBorders>
              <w:top w:val="single" w:color="000000" w:sz="8" w:space="0"/>
              <w:left w:val="single" w:color="000000" w:sz="8" w:space="0"/>
              <w:bottom w:val="single" w:color="000000" w:sz="8" w:space="0"/>
              <w:right w:val="single" w:color="000000" w:sz="8" w:space="0"/>
            </w:tcBorders>
            <w:shd w:val="clear" w:color="auto" w:fill="auto"/>
            <w:vAlign w:val="center"/>
          </w:tcPr>
          <w:p>
            <w:pPr>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宋体" w:cs="Times New Roman"/>
                <w:i w:val="0"/>
                <w:iCs w:val="0"/>
                <w:color w:val="000000"/>
                <w:sz w:val="21"/>
                <w:szCs w:val="21"/>
                <w:u w:val="none"/>
              </w:rPr>
            </w:pPr>
          </w:p>
        </w:tc>
        <w:tc>
          <w:tcPr>
            <w:tcW w:w="236" w:type="pct"/>
            <w:tcBorders>
              <w:top w:val="single" w:color="000000" w:sz="8" w:space="0"/>
              <w:left w:val="single" w:color="000000" w:sz="8" w:space="0"/>
              <w:bottom w:val="single" w:color="000000" w:sz="8" w:space="0"/>
              <w:right w:val="single" w:color="000000" w:sz="8" w:space="0"/>
            </w:tcBorders>
            <w:shd w:val="clear" w:color="auto" w:fill="auto"/>
            <w:vAlign w:val="center"/>
          </w:tcPr>
          <w:p>
            <w:pPr>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宋体" w:cs="Times New Roman"/>
                <w:i w:val="0"/>
                <w:iCs w:val="0"/>
                <w:color w:val="000000"/>
                <w:sz w:val="21"/>
                <w:szCs w:val="21"/>
                <w:u w:val="none"/>
              </w:rPr>
            </w:pPr>
          </w:p>
        </w:tc>
        <w:tc>
          <w:tcPr>
            <w:tcW w:w="285" w:type="pct"/>
            <w:tcBorders>
              <w:top w:val="single" w:color="000000" w:sz="8" w:space="0"/>
              <w:left w:val="single" w:color="000000" w:sz="8" w:space="0"/>
              <w:bottom w:val="single" w:color="000000" w:sz="8" w:space="0"/>
              <w:right w:val="single" w:color="000000" w:sz="8" w:space="0"/>
            </w:tcBorders>
            <w:shd w:val="clear" w:color="auto" w:fill="auto"/>
            <w:vAlign w:val="center"/>
          </w:tcPr>
          <w:p>
            <w:pPr>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75" w:hRule="atLeast"/>
        </w:trPr>
        <w:tc>
          <w:tcPr>
            <w:tcW w:w="348" w:type="pct"/>
            <w:vMerge w:val="continue"/>
            <w:tcBorders>
              <w:top w:val="nil"/>
              <w:left w:val="single" w:color="000000" w:sz="8" w:space="0"/>
              <w:bottom w:val="single" w:color="000000" w:sz="8" w:space="0"/>
              <w:right w:val="single" w:color="000000" w:sz="8" w:space="0"/>
            </w:tcBorders>
            <w:shd w:val="clear" w:color="auto" w:fill="auto"/>
            <w:vAlign w:val="center"/>
          </w:tcPr>
          <w:p>
            <w:pPr>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楷体" w:cs="Times New Roman"/>
                <w:i w:val="0"/>
                <w:iCs w:val="0"/>
                <w:color w:val="000000"/>
                <w:sz w:val="21"/>
                <w:szCs w:val="21"/>
                <w:u w:val="none"/>
              </w:rPr>
            </w:pPr>
          </w:p>
        </w:tc>
        <w:tc>
          <w:tcPr>
            <w:tcW w:w="2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通识必修课</w:t>
            </w:r>
          </w:p>
        </w:tc>
        <w:tc>
          <w:tcPr>
            <w:tcW w:w="57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人文社科模块</w:t>
            </w:r>
          </w:p>
        </w:tc>
        <w:tc>
          <w:tcPr>
            <w:tcW w:w="590" w:type="pct"/>
            <w:tcBorders>
              <w:top w:val="nil"/>
              <w:left w:val="nil"/>
              <w:bottom w:val="single" w:color="000000" w:sz="8" w:space="0"/>
              <w:right w:val="single" w:color="000000" w:sz="8" w:space="0"/>
            </w:tcBorders>
            <w:shd w:val="clear" w:color="auto" w:fill="auto"/>
            <w:vAlign w:val="center"/>
          </w:tcPr>
          <w:p>
            <w:pPr>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Humanities and Social Science Module</w:t>
            </w:r>
          </w:p>
        </w:tc>
        <w:tc>
          <w:tcPr>
            <w:tcW w:w="26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8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32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66" w:type="pct"/>
            <w:tcBorders>
              <w:top w:val="nil"/>
              <w:left w:val="nil"/>
              <w:bottom w:val="single" w:color="000000" w:sz="8" w:space="0"/>
              <w:right w:val="single" w:color="000000" w:sz="8" w:space="0"/>
            </w:tcBorders>
            <w:shd w:val="clear" w:color="auto" w:fill="auto"/>
            <w:vAlign w:val="center"/>
          </w:tcPr>
          <w:p>
            <w:pPr>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宋体" w:cs="Times New Roman"/>
                <w:i w:val="0"/>
                <w:iCs w:val="0"/>
                <w:color w:val="000000"/>
                <w:sz w:val="21"/>
                <w:szCs w:val="21"/>
                <w:u w:val="none"/>
              </w:rPr>
            </w:pPr>
          </w:p>
        </w:tc>
        <w:tc>
          <w:tcPr>
            <w:tcW w:w="242" w:type="pct"/>
            <w:tcBorders>
              <w:top w:val="nil"/>
              <w:left w:val="nil"/>
              <w:bottom w:val="single" w:color="000000" w:sz="8" w:space="0"/>
              <w:right w:val="single" w:color="000000" w:sz="8" w:space="0"/>
            </w:tcBorders>
            <w:shd w:val="clear" w:color="auto" w:fill="auto"/>
            <w:vAlign w:val="center"/>
          </w:tcPr>
          <w:p>
            <w:pPr>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宋体" w:cs="Times New Roman"/>
                <w:i w:val="0"/>
                <w:iCs w:val="0"/>
                <w:color w:val="000000"/>
                <w:sz w:val="21"/>
                <w:szCs w:val="21"/>
                <w:u w:val="none"/>
              </w:rPr>
            </w:pPr>
          </w:p>
        </w:tc>
        <w:tc>
          <w:tcPr>
            <w:tcW w:w="265" w:type="pct"/>
            <w:tcBorders>
              <w:top w:val="nil"/>
              <w:left w:val="nil"/>
              <w:bottom w:val="single" w:color="000000" w:sz="8" w:space="0"/>
              <w:right w:val="single" w:color="000000" w:sz="8" w:space="0"/>
            </w:tcBorders>
            <w:shd w:val="clear" w:color="auto" w:fill="auto"/>
            <w:vAlign w:val="center"/>
          </w:tcPr>
          <w:p>
            <w:pPr>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宋体" w:cs="Times New Roman"/>
                <w:i w:val="0"/>
                <w:iCs w:val="0"/>
                <w:color w:val="000000"/>
                <w:sz w:val="21"/>
                <w:szCs w:val="21"/>
                <w:u w:val="none"/>
              </w:rPr>
            </w:pPr>
          </w:p>
        </w:tc>
        <w:tc>
          <w:tcPr>
            <w:tcW w:w="263" w:type="pct"/>
            <w:tcBorders>
              <w:top w:val="nil"/>
              <w:left w:val="nil"/>
              <w:bottom w:val="single" w:color="000000" w:sz="8" w:space="0"/>
              <w:right w:val="single" w:color="000000" w:sz="8" w:space="0"/>
            </w:tcBorders>
            <w:shd w:val="clear" w:color="auto" w:fill="auto"/>
            <w:vAlign w:val="center"/>
          </w:tcPr>
          <w:p>
            <w:pPr>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宋体" w:cs="Times New Roman"/>
                <w:i w:val="0"/>
                <w:iCs w:val="0"/>
                <w:color w:val="000000"/>
                <w:sz w:val="21"/>
                <w:szCs w:val="21"/>
                <w:u w:val="none"/>
              </w:rPr>
            </w:pPr>
          </w:p>
        </w:tc>
        <w:tc>
          <w:tcPr>
            <w:tcW w:w="253" w:type="pct"/>
            <w:tcBorders>
              <w:top w:val="nil"/>
              <w:left w:val="nil"/>
              <w:bottom w:val="single" w:color="000000" w:sz="8" w:space="0"/>
              <w:right w:val="single" w:color="000000" w:sz="8" w:space="0"/>
            </w:tcBorders>
            <w:shd w:val="clear" w:color="auto" w:fill="auto"/>
            <w:vAlign w:val="center"/>
          </w:tcPr>
          <w:p>
            <w:pPr>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宋体" w:cs="Times New Roman"/>
                <w:i w:val="0"/>
                <w:iCs w:val="0"/>
                <w:color w:val="000000"/>
                <w:sz w:val="21"/>
                <w:szCs w:val="21"/>
                <w:u w:val="none"/>
              </w:rPr>
            </w:pPr>
          </w:p>
        </w:tc>
        <w:tc>
          <w:tcPr>
            <w:tcW w:w="25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36" w:type="pct"/>
            <w:tcBorders>
              <w:top w:val="nil"/>
              <w:left w:val="nil"/>
              <w:bottom w:val="single" w:color="000000" w:sz="8" w:space="0"/>
              <w:right w:val="single" w:color="000000" w:sz="8" w:space="0"/>
            </w:tcBorders>
            <w:shd w:val="clear" w:color="auto" w:fill="auto"/>
            <w:vAlign w:val="center"/>
          </w:tcPr>
          <w:p>
            <w:pPr>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宋体" w:cs="Times New Roman"/>
                <w:i w:val="0"/>
                <w:iCs w:val="0"/>
                <w:color w:val="000000"/>
                <w:sz w:val="21"/>
                <w:szCs w:val="21"/>
                <w:u w:val="none"/>
              </w:rPr>
            </w:pPr>
          </w:p>
        </w:tc>
        <w:tc>
          <w:tcPr>
            <w:tcW w:w="285" w:type="pct"/>
            <w:tcBorders>
              <w:top w:val="nil"/>
              <w:left w:val="nil"/>
              <w:bottom w:val="single" w:color="000000" w:sz="8" w:space="0"/>
              <w:right w:val="single" w:color="000000" w:sz="8" w:space="0"/>
            </w:tcBorders>
            <w:shd w:val="clear" w:color="auto" w:fill="auto"/>
            <w:vAlign w:val="center"/>
          </w:tcPr>
          <w:p>
            <w:pPr>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00" w:hRule="atLeast"/>
        </w:trPr>
        <w:tc>
          <w:tcPr>
            <w:tcW w:w="1771" w:type="pct"/>
            <w:gridSpan w:val="4"/>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公共教育课合计</w:t>
            </w:r>
          </w:p>
        </w:tc>
        <w:tc>
          <w:tcPr>
            <w:tcW w:w="26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8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32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6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4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6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6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5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5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8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bl>
    <w:p>
      <w:pPr>
        <w:pStyle w:val="8"/>
        <w:keepNext w:val="0"/>
        <w:keepLines w:val="0"/>
        <w:pageBreakBefore w:val="0"/>
        <w:kinsoku/>
        <w:wordWrap/>
        <w:overflowPunct/>
        <w:topLinePunct w:val="0"/>
        <w:autoSpaceDE/>
        <w:autoSpaceDN/>
        <w:bidi w:val="0"/>
        <w:adjustRightInd/>
        <w:snapToGrid/>
        <w:spacing w:line="360" w:lineRule="exact"/>
        <w:ind w:firstLine="0" w:firstLineChars="0"/>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备注：通识必修课中的人文社科模块至少修满1学分的“四史”课程（</w:t>
      </w:r>
      <w:r>
        <w:rPr>
          <w:rFonts w:hint="eastAsia" w:ascii="仿宋" w:hAnsi="仿宋" w:cs="仿宋"/>
          <w:b/>
          <w:bCs w:val="0"/>
          <w:sz w:val="21"/>
          <w:szCs w:val="21"/>
          <w:lang w:val="en-US" w:eastAsia="zh-CN"/>
        </w:rPr>
        <w:t>中国共产党</w:t>
      </w:r>
      <w:r>
        <w:rPr>
          <w:rFonts w:hint="eastAsia" w:ascii="仿宋" w:hAnsi="仿宋" w:eastAsia="仿宋" w:cs="仿宋"/>
          <w:b/>
          <w:sz w:val="21"/>
          <w:szCs w:val="21"/>
          <w:lang w:val="en-US" w:eastAsia="zh-CN"/>
        </w:rPr>
        <w:t>党史、新中国史、改革开放史和社会主义发展史）。</w:t>
      </w:r>
    </w:p>
    <w:p>
      <w:pPr>
        <w:pStyle w:val="20"/>
        <w:bidi w:val="0"/>
        <w:rPr>
          <w:rFonts w:hint="eastAsia"/>
          <w:lang w:val="en-US" w:eastAsia="zh-CN"/>
        </w:rPr>
      </w:pPr>
      <w:r>
        <w:rPr>
          <w:rFonts w:hint="eastAsia"/>
          <w:lang w:val="en-US" w:eastAsia="zh-CN"/>
        </w:rPr>
        <w:t>表二</w:t>
      </w:r>
    </w:p>
    <w:p>
      <w:pPr>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bCs/>
          <w:lang w:val="en-US" w:eastAsia="zh-CN"/>
        </w:rPr>
      </w:pPr>
      <w:r>
        <w:rPr>
          <w:rFonts w:hint="default" w:ascii="宋体" w:hAnsi="宋体" w:eastAsia="宋体" w:cs="宋体"/>
          <w:b/>
          <w:bCs/>
          <w:lang w:val="en-US" w:eastAsia="zh-CN"/>
        </w:rPr>
        <w:t>专升本专业教育课程计划进程表</w:t>
      </w:r>
    </w:p>
    <w:p>
      <w:pPr>
        <w:pStyle w:val="8"/>
        <w:pageBreakBefore w:val="0"/>
        <w:kinsoku/>
        <w:wordWrap/>
        <w:overflowPunct/>
        <w:topLinePunct w:val="0"/>
        <w:autoSpaceDE/>
        <w:autoSpaceDN/>
        <w:bidi w:val="0"/>
        <w:adjustRightInd/>
        <w:snapToGrid/>
        <w:spacing w:line="360" w:lineRule="exact"/>
        <w:ind w:firstLine="0" w:firstLineChars="0"/>
        <w:jc w:val="center"/>
        <w:rPr>
          <w:rFonts w:hint="default"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w:t>
      </w:r>
    </w:p>
    <w:sectPr>
      <w:footerReference r:id="rId7" w:type="default"/>
      <w:pgSz w:w="11906" w:h="16838"/>
      <w:pgMar w:top="1134" w:right="1134" w:bottom="1134" w:left="1134" w:header="851" w:footer="992" w:gutter="0"/>
      <w:cols w:space="0" w:num="1"/>
      <w:rtlGutter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yx" w:date="2020-10-20T18:07:54Z" w:initials="ryx">
    <w:p w14:paraId="3AA72224">
      <w:pPr>
        <w:pStyle w:val="7"/>
        <w:rPr>
          <w:rFonts w:hint="default" w:eastAsiaTheme="minorEastAsia"/>
          <w:lang w:val="en-US" w:eastAsia="zh-CN"/>
        </w:rPr>
      </w:pPr>
      <w:r>
        <w:rPr>
          <w:rFonts w:hint="eastAsia"/>
          <w:lang w:val="en-US" w:eastAsia="zh-CN"/>
        </w:rPr>
        <w:t>设为方案章标题样式（黑体二号加粗居中，单倍行距。）全篇文档不留空格；英文字体使用</w:t>
      </w:r>
      <w:r>
        <w:t>Times New Roman</w:t>
      </w:r>
      <w:r>
        <w:rPr>
          <w:rFonts w:hint="eastAsia"/>
          <w:lang w:eastAsia="zh-CN"/>
        </w:rPr>
        <w:t>；</w:t>
      </w:r>
      <w:r>
        <w:rPr>
          <w:rFonts w:hint="eastAsia"/>
          <w:lang w:val="en-US" w:eastAsia="zh-CN"/>
        </w:rPr>
        <w:t>页边距上下左右均为2厘米。不得出现空格和空行。</w:t>
      </w:r>
    </w:p>
  </w:comment>
  <w:comment w:id="1" w:author="春晓" w:date="2021-10-12T09:40:22Z" w:initials="">
    <w:p w14:paraId="46E73438">
      <w:pPr>
        <w:pStyle w:val="7"/>
        <w:rPr>
          <w:rFonts w:hint="default" w:eastAsiaTheme="minorEastAsia"/>
          <w:lang w:val="en-US" w:eastAsia="zh-CN"/>
        </w:rPr>
      </w:pPr>
      <w:r>
        <w:rPr>
          <w:rFonts w:hint="eastAsia"/>
          <w:lang w:val="en-US" w:eastAsia="zh-CN"/>
        </w:rPr>
        <w:t>设为方案章标题样式（黑体二号加粗居中，单倍行距。）每个专业人才培养方案另起一页。</w:t>
      </w:r>
    </w:p>
  </w:comment>
  <w:comment w:id="2" w:author="ryx" w:date="2020-10-20T18:15:46Z" w:initials="ryx">
    <w:p w14:paraId="3E2D76A7">
      <w:pPr>
        <w:pStyle w:val="7"/>
        <w:rPr>
          <w:rFonts w:hint="default" w:eastAsiaTheme="minorEastAsia"/>
          <w:lang w:val="en-US" w:eastAsia="zh-CN"/>
        </w:rPr>
      </w:pPr>
      <w:r>
        <w:rPr>
          <w:rFonts w:hint="eastAsia"/>
          <w:lang w:val="en-US" w:eastAsia="zh-CN"/>
        </w:rPr>
        <w:t>设为方案一级样式（宋体四号加粗，文本前2字符，段前段后0.5行，行距固定值18磅），下同。</w:t>
      </w:r>
    </w:p>
  </w:comment>
  <w:comment w:id="3" w:author="春晓" w:date="2021-10-12T09:43:16Z" w:initials="">
    <w:p w14:paraId="157078B9">
      <w:pPr>
        <w:pStyle w:val="7"/>
        <w:rPr>
          <w:rFonts w:hint="default"/>
          <w:lang w:val="en-US"/>
        </w:rPr>
      </w:pPr>
      <w:r>
        <w:rPr>
          <w:rFonts w:hint="eastAsia"/>
          <w:lang w:val="en-US" w:eastAsia="zh-CN"/>
        </w:rPr>
        <w:t>设为方案二级样式（宋体小四加粗，文本前0.85厘米，段前0.5行段后0行，行距固定值18磅），下同。</w:t>
      </w:r>
    </w:p>
  </w:comment>
  <w:comment w:id="4" w:author="春晓" w:date="2021-10-12T10:15:29Z" w:initials="">
    <w:p w14:paraId="73991B28">
      <w:pPr>
        <w:pStyle w:val="7"/>
        <w:rPr>
          <w:rFonts w:hint="default" w:eastAsiaTheme="minorEastAsia"/>
          <w:lang w:val="en-US" w:eastAsia="zh-CN"/>
        </w:rPr>
      </w:pPr>
      <w:r>
        <w:rPr>
          <w:rFonts w:hint="eastAsia"/>
          <w:lang w:val="en-US" w:eastAsia="zh-CN"/>
        </w:rPr>
        <w:t>设为方案一级样式，居中，下同</w:t>
      </w:r>
    </w:p>
  </w:comment>
  <w:comment w:id="5" w:author="春晓" w:date="2021-10-12T10:20:57Z" w:initials="">
    <w:p w14:paraId="329E75EF">
      <w:pPr>
        <w:pStyle w:val="7"/>
        <w:rPr>
          <w:rFonts w:hint="default" w:eastAsiaTheme="minorEastAsia"/>
          <w:lang w:val="en-US" w:eastAsia="zh-CN"/>
        </w:rPr>
      </w:pPr>
      <w:r>
        <w:rPr>
          <w:rFonts w:hint="eastAsia"/>
          <w:lang w:val="en-US" w:eastAsia="zh-CN"/>
        </w:rPr>
        <w:t>设为方案二级样式，下同</w:t>
      </w:r>
    </w:p>
  </w:comment>
  <w:comment w:id="6" w:author="ryx" w:date="2020-10-20T18:37:04Z" w:initials="ryx">
    <w:p w14:paraId="76A93D6B">
      <w:pPr>
        <w:pStyle w:val="7"/>
      </w:pPr>
      <w:r>
        <w:rPr>
          <w:rFonts w:hint="eastAsia"/>
          <w:lang w:val="en-US" w:eastAsia="zh-CN"/>
        </w:rPr>
        <w:t>设为方案正文样式（宋体5号，首行缩进2字符，段前段后0行，行距固定值18磅），下同。</w:t>
      </w:r>
    </w:p>
  </w:comment>
  <w:comment w:id="7" w:author="ryx" w:date="2020-10-20T18:38:33Z" w:initials="ryx">
    <w:p w14:paraId="733E2971">
      <w:pPr>
        <w:pStyle w:val="19"/>
        <w:bidi w:val="0"/>
        <w:rPr>
          <w:rFonts w:hint="default"/>
          <w:b w:val="0"/>
          <w:bCs/>
          <w:lang w:val="en-US" w:eastAsia="zh-CN"/>
        </w:rPr>
      </w:pPr>
      <w:r>
        <w:rPr>
          <w:rFonts w:hint="eastAsia"/>
          <w:b w:val="0"/>
          <w:bCs/>
          <w:lang w:val="en-US" w:eastAsia="zh-CN"/>
        </w:rPr>
        <w:t>设为方案三级</w:t>
      </w:r>
      <w:r>
        <w:rPr>
          <w:rFonts w:hint="eastAsia"/>
          <w:lang w:val="en-US" w:eastAsia="zh-CN"/>
        </w:rPr>
        <w:t>样式</w:t>
      </w:r>
      <w:r>
        <w:rPr>
          <w:rFonts w:hint="eastAsia"/>
          <w:b w:val="0"/>
          <w:bCs/>
          <w:lang w:val="en-US" w:eastAsia="zh-CN"/>
        </w:rPr>
        <w:t>（宋体五号加粗左缩进2字符，段前段后0.5行，行距固定值18磅），下同。</w:t>
      </w:r>
    </w:p>
  </w:comment>
  <w:comment w:id="8" w:author="ryx" w:date="2020-10-20T18:46:06Z" w:initials="ryx">
    <w:p w14:paraId="76B83658">
      <w:pPr>
        <w:pStyle w:val="7"/>
        <w:rPr>
          <w:rFonts w:hint="default" w:eastAsiaTheme="minorEastAsia"/>
          <w:lang w:val="en-US" w:eastAsia="zh-CN"/>
        </w:rPr>
      </w:pPr>
      <w:r>
        <w:rPr>
          <w:rFonts w:hint="eastAsia"/>
          <w:lang w:val="en-US" w:eastAsia="zh-CN"/>
        </w:rPr>
        <w:t>宋体5号加粗居中，行距固定值18磅。所有表头标题及表格取消首行缩进。 根据窗口调整表格，取消首行缩进。</w:t>
      </w:r>
    </w:p>
  </w:comment>
  <w:comment w:id="9" w:author="春晓" w:date="2021-10-12T10:37:58Z" w:initials="">
    <w:p w14:paraId="569D1700">
      <w:pPr>
        <w:pStyle w:val="7"/>
      </w:pPr>
      <w:r>
        <w:rPr>
          <w:rFonts w:hint="eastAsia"/>
          <w:lang w:val="en-US" w:eastAsia="zh-CN"/>
        </w:rPr>
        <w:t>所有表格文字使用楷体5号，根据是否标题、是否需要强调而选择是否加粗。</w:t>
      </w:r>
    </w:p>
  </w:comment>
  <w:comment w:id="10" w:author="春晓" w:date="2021-10-12T10:37:08Z" w:initials="">
    <w:p w14:paraId="6B91285B">
      <w:pPr>
        <w:pStyle w:val="7"/>
      </w:pPr>
      <w:r>
        <w:rPr>
          <w:rFonts w:hint="eastAsia"/>
          <w:lang w:val="en-US" w:eastAsia="zh-CN"/>
        </w:rPr>
        <w:t>所有表格备注使用仿宋5号加粗。</w:t>
      </w:r>
    </w:p>
  </w:comment>
  <w:comment w:id="11" w:author="春晓" w:date="2021-10-14T09:18:30Z" w:initials="">
    <w:p w14:paraId="01F77A0C">
      <w:pPr>
        <w:pStyle w:val="7"/>
      </w:pPr>
      <w:r>
        <w:rPr>
          <w:rFonts w:hint="eastAsia"/>
          <w:lang w:val="en-US" w:eastAsia="zh-CN"/>
        </w:rPr>
        <w:t>所有专业学位授予平均学分绩点须达到2.0及以上</w:t>
      </w:r>
    </w:p>
  </w:comment>
  <w:comment w:id="12" w:author="春晓" w:date="2021-10-12T11:09:50Z" w:initials="">
    <w:p w14:paraId="0C815D0C">
      <w:pPr>
        <w:pStyle w:val="7"/>
        <w:rPr>
          <w:rFonts w:hint="default" w:eastAsiaTheme="minorEastAsia"/>
          <w:color w:val="FF0000"/>
          <w:lang w:val="en-US" w:eastAsia="zh-CN"/>
        </w:rPr>
      </w:pPr>
      <w:r>
        <w:rPr>
          <w:rFonts w:hint="eastAsia"/>
          <w:color w:val="FF0000"/>
          <w:lang w:val="en-US" w:eastAsia="zh-CN"/>
        </w:rPr>
        <w:t>注意与原培养方案有变化。</w:t>
      </w:r>
    </w:p>
  </w:comment>
  <w:comment w:id="13" w:author="春晓" w:date="2021-10-12T10:41:35Z" w:initials="">
    <w:p w14:paraId="1032307A">
      <w:pPr>
        <w:pStyle w:val="7"/>
        <w:rPr>
          <w:rFonts w:hint="default" w:eastAsiaTheme="minorEastAsia"/>
          <w:lang w:val="en-US" w:eastAsia="zh-CN"/>
        </w:rPr>
      </w:pPr>
      <w:r>
        <w:rPr>
          <w:rFonts w:hint="eastAsia"/>
          <w:lang w:val="en-US" w:eastAsia="zh-CN"/>
        </w:rPr>
        <w:t>楷体小四，行距固定值18磅，下同。注意：原培养方案中的</w:t>
      </w:r>
      <w:r>
        <w:rPr>
          <w:rFonts w:hint="eastAsia"/>
          <w:color w:val="FF0000"/>
          <w:lang w:val="en-US" w:eastAsia="zh-CN"/>
        </w:rPr>
        <w:t>详见附表一改为详见表一</w:t>
      </w:r>
      <w:r>
        <w:rPr>
          <w:rFonts w:hint="eastAsia"/>
          <w:lang w:val="en-US" w:eastAsia="zh-CN"/>
        </w:rPr>
        <w:t>。</w:t>
      </w:r>
    </w:p>
  </w:comment>
  <w:comment w:id="14" w:author="春晓" w:date="2021-10-12T11:16:55Z" w:initials="">
    <w:p w14:paraId="3DB0260B">
      <w:pPr>
        <w:pStyle w:val="7"/>
        <w:rPr>
          <w:rFonts w:hint="default" w:eastAsiaTheme="minorEastAsia"/>
          <w:lang w:val="en-US" w:eastAsia="zh-CN"/>
        </w:rPr>
      </w:pPr>
      <w:r>
        <w:rPr>
          <w:rFonts w:hint="eastAsia"/>
          <w:lang w:val="en-US" w:eastAsia="zh-CN"/>
        </w:rPr>
        <w:t>设为方案二级样式</w:t>
      </w:r>
    </w:p>
  </w:comment>
  <w:comment w:id="15" w:author="春晓" w:date="2021-10-12T11:16:17Z" w:initials="">
    <w:p w14:paraId="09CC42A5">
      <w:pPr>
        <w:pStyle w:val="7"/>
        <w:rPr>
          <w:rFonts w:hint="eastAsia"/>
          <w:lang w:val="en-US" w:eastAsia="zh-CN"/>
        </w:rPr>
      </w:pPr>
      <w:r>
        <w:rPr>
          <w:rFonts w:hint="eastAsia"/>
          <w:lang w:val="en-US" w:eastAsia="zh-CN"/>
        </w:rPr>
        <w:t>标题宋体五号加粗居中，段后间距0行，</w:t>
      </w:r>
      <w:r>
        <w:rPr>
          <w:rFonts w:hint="eastAsia"/>
          <w:color w:val="FF0000"/>
          <w:lang w:val="en-US" w:eastAsia="zh-CN"/>
        </w:rPr>
        <w:t>取消首行缩进</w:t>
      </w:r>
      <w:r>
        <w:rPr>
          <w:rFonts w:hint="eastAsia"/>
          <w:lang w:val="en-US" w:eastAsia="zh-CN"/>
        </w:rPr>
        <w:t>。</w:t>
      </w:r>
    </w:p>
    <w:p w14:paraId="67B0452E">
      <w:pPr>
        <w:pStyle w:val="7"/>
        <w:rPr>
          <w:rFonts w:hint="default"/>
          <w:lang w:val="en-US" w:eastAsia="zh-CN"/>
        </w:rPr>
      </w:pPr>
      <w:r>
        <w:rPr>
          <w:rFonts w:hint="eastAsia"/>
          <w:lang w:val="en-US" w:eastAsia="zh-CN"/>
        </w:rPr>
        <w:t>表格取消首行缩进。</w:t>
      </w:r>
    </w:p>
    <w:p w14:paraId="19132CA3">
      <w:pPr>
        <w:pStyle w:val="7"/>
        <w:rPr>
          <w:rFonts w:hint="eastAsia"/>
          <w:lang w:val="en-US" w:eastAsia="zh-CN"/>
        </w:rPr>
      </w:pPr>
      <w:r>
        <w:rPr>
          <w:rFonts w:hint="eastAsia"/>
          <w:lang w:val="en-US" w:eastAsia="zh-CN"/>
        </w:rPr>
        <w:t>请先在excel中进行以下调整后复制到word。</w:t>
      </w:r>
    </w:p>
    <w:p w14:paraId="6D571FDF">
      <w:pPr>
        <w:pStyle w:val="7"/>
        <w:rPr>
          <w:rFonts w:hint="eastAsia"/>
          <w:lang w:val="en-US" w:eastAsia="zh-CN"/>
        </w:rPr>
      </w:pPr>
      <w:r>
        <w:rPr>
          <w:rFonts w:hint="eastAsia"/>
          <w:lang w:val="en-US" w:eastAsia="zh-CN"/>
        </w:rPr>
        <w:t>1.先全选设置楷体10.5，后全选设置</w:t>
      </w:r>
      <w:r>
        <w:t>Times New Roman</w:t>
      </w:r>
      <w:r>
        <w:rPr>
          <w:rFonts w:hint="eastAsia"/>
          <w:lang w:eastAsia="zh-CN"/>
        </w:rPr>
        <w:t>，</w:t>
      </w:r>
      <w:r>
        <w:rPr>
          <w:rFonts w:hint="eastAsia"/>
          <w:lang w:val="en-US" w:eastAsia="zh-CN"/>
        </w:rPr>
        <w:t>使数字和英文字体为</w:t>
      </w:r>
      <w:r>
        <w:t>Times New Roman</w:t>
      </w:r>
      <w:r>
        <w:rPr>
          <w:rFonts w:hint="eastAsia"/>
          <w:lang w:val="en-US" w:eastAsia="zh-CN"/>
        </w:rPr>
        <w:t>）。</w:t>
      </w:r>
    </w:p>
    <w:p w14:paraId="4E944CC9">
      <w:pPr>
        <w:pStyle w:val="7"/>
        <w:rPr>
          <w:rFonts w:hint="eastAsia"/>
          <w:lang w:val="en-US" w:eastAsia="zh-CN"/>
        </w:rPr>
      </w:pPr>
      <w:r>
        <w:rPr>
          <w:rFonts w:hint="eastAsia"/>
          <w:lang w:val="en-US" w:eastAsia="zh-CN"/>
        </w:rPr>
        <w:t>2.全选后居中</w:t>
      </w:r>
    </w:p>
    <w:p w14:paraId="33CA41BF">
      <w:pPr>
        <w:pStyle w:val="7"/>
        <w:rPr>
          <w:rFonts w:hint="eastAsia"/>
          <w:lang w:val="en-US" w:eastAsia="zh-CN"/>
        </w:rPr>
      </w:pPr>
      <w:r>
        <w:rPr>
          <w:rFonts w:hint="eastAsia"/>
          <w:lang w:val="en-US" w:eastAsia="zh-CN"/>
        </w:rPr>
        <w:t>3.所有行高调整为最适合行高。</w:t>
      </w:r>
    </w:p>
    <w:p w14:paraId="09D51B71">
      <w:pPr>
        <w:pStyle w:val="7"/>
        <w:rPr>
          <w:rFonts w:hint="eastAsia"/>
          <w:lang w:val="en-US" w:eastAsia="zh-CN"/>
        </w:rPr>
      </w:pPr>
      <w:r>
        <w:rPr>
          <w:rFonts w:hint="eastAsia"/>
          <w:lang w:val="en-US" w:eastAsia="zh-CN"/>
        </w:rPr>
        <w:t>4.空白单元格请合并或删除。</w:t>
      </w:r>
    </w:p>
    <w:p w14:paraId="70DB7290">
      <w:pPr>
        <w:pStyle w:val="7"/>
        <w:rPr>
          <w:rFonts w:hint="default"/>
          <w:color w:val="FF0000"/>
          <w:lang w:val="en-US" w:eastAsia="zh-CN"/>
        </w:rPr>
      </w:pPr>
      <w:r>
        <w:rPr>
          <w:rFonts w:hint="eastAsia"/>
          <w:color w:val="FF0000"/>
          <w:lang w:val="en-US" w:eastAsia="zh-CN"/>
        </w:rPr>
        <w:t>5.注意：学分修读要求栏须填数字。</w:t>
      </w:r>
    </w:p>
  </w:comment>
  <w:comment w:id="16" w:author="春晓" w:date="2021-10-12T14:52:41Z" w:initials="">
    <w:p w14:paraId="5A470FFA">
      <w:pPr>
        <w:pStyle w:val="7"/>
        <w:rPr>
          <w:rFonts w:hint="eastAsia"/>
          <w:lang w:val="en-US" w:eastAsia="zh-CN"/>
        </w:rPr>
      </w:pPr>
      <w:r>
        <w:rPr>
          <w:rFonts w:hint="eastAsia"/>
          <w:lang w:val="en-US" w:eastAsia="zh-CN"/>
        </w:rPr>
        <w:t>1.表格应先根据窗口自动调整后再手动调整，手动调整应居中排布</w:t>
      </w:r>
      <w:r>
        <w:rPr>
          <w:rFonts w:hint="eastAsia"/>
        </w:rPr>
        <w:t>，</w:t>
      </w:r>
      <w:r>
        <w:rPr>
          <w:rFonts w:hint="eastAsia"/>
          <w:lang w:val="en-US" w:eastAsia="zh-CN"/>
        </w:rPr>
        <w:t>列宽尽量均匀，行高保证课程信息完整显示。</w:t>
      </w:r>
    </w:p>
    <w:p w14:paraId="33956351">
      <w:pPr>
        <w:pStyle w:val="7"/>
        <w:rPr>
          <w:rFonts w:hint="eastAsia"/>
          <w:lang w:val="en-US" w:eastAsia="zh-CN"/>
        </w:rPr>
      </w:pPr>
      <w:r>
        <w:rPr>
          <w:rFonts w:hint="eastAsia"/>
          <w:lang w:val="en-US" w:eastAsia="zh-CN"/>
        </w:rPr>
        <w:t>2.表格属性-行-取消允许跨页断行。</w:t>
      </w:r>
    </w:p>
    <w:p w14:paraId="6C765711">
      <w:pPr>
        <w:pStyle w:val="7"/>
        <w:rPr>
          <w:rFonts w:hint="eastAsia"/>
          <w:lang w:val="en-US" w:eastAsia="zh-CN"/>
        </w:rPr>
      </w:pPr>
      <w:r>
        <w:rPr>
          <w:rFonts w:hint="eastAsia"/>
          <w:lang w:val="en-US" w:eastAsia="zh-CN"/>
        </w:rPr>
        <w:t>3.选中标题行，表格属性-行-勾选在各页顶端以标题行形式重复出现</w:t>
      </w:r>
    </w:p>
    <w:p w14:paraId="5B1436AA">
      <w:pPr>
        <w:pStyle w:val="7"/>
        <w:rPr>
          <w:rFonts w:hint="default"/>
          <w:lang w:val="en-US" w:eastAsia="zh-CN"/>
        </w:rPr>
      </w:pPr>
      <w:r>
        <w:rPr>
          <w:rFonts w:hint="eastAsia"/>
          <w:lang w:val="en-US" w:eastAsia="zh-CN"/>
        </w:rPr>
        <w:t>4.表内文字行距调整为1.0</w:t>
      </w:r>
    </w:p>
  </w:comment>
  <w:comment w:id="17" w:author="春晓" w:date="2021-10-14T09:08:39Z" w:initials="">
    <w:p w14:paraId="57833E2F">
      <w:pPr>
        <w:pStyle w:val="7"/>
        <w:rPr>
          <w:rFonts w:hint="eastAsia"/>
          <w:lang w:val="en-US" w:eastAsia="zh-CN"/>
        </w:rPr>
      </w:pPr>
      <w:r>
        <w:rPr>
          <w:rFonts w:hint="eastAsia"/>
          <w:lang w:val="en-US" w:eastAsia="zh-CN"/>
        </w:rPr>
        <w:t>设为章标题样式（黑体二号加粗 单倍行距）</w:t>
      </w:r>
    </w:p>
    <w:p w14:paraId="6F9B688B">
      <w:pPr>
        <w:pStyle w:val="7"/>
        <w:rPr>
          <w:rFonts w:hint="default"/>
          <w:lang w:val="en-US" w:eastAsia="zh-CN"/>
        </w:rPr>
      </w:pPr>
      <w:r>
        <w:rPr>
          <w:rFonts w:hint="eastAsia"/>
          <w:lang w:val="en-US" w:eastAsia="zh-CN"/>
        </w:rPr>
        <w:t>全文格式同普通专业</w:t>
      </w:r>
    </w:p>
  </w:comment>
  <w:comment w:id="19" w:author="春晓" w:date="2021-10-14T09:16:48Z" w:initials="">
    <w:p w14:paraId="5ED47863">
      <w:pPr>
        <w:pStyle w:val="7"/>
        <w:rPr>
          <w:rFonts w:hint="default" w:eastAsiaTheme="minorEastAsia"/>
          <w:lang w:val="en-US" w:eastAsia="zh-CN"/>
        </w:rPr>
      </w:pPr>
      <w:r>
        <w:rPr>
          <w:rFonts w:hint="eastAsia"/>
          <w:lang w:val="en-US" w:eastAsia="zh-CN"/>
        </w:rPr>
        <w:t>所有专升本专业学位授予平均学分绩点须达到2.0及以上</w:t>
      </w:r>
    </w:p>
  </w:comment>
  <w:comment w:id="18" w:author="春晓" w:date="2021-10-14T09:22:48Z" w:initials="">
    <w:p w14:paraId="11E05911">
      <w:pPr>
        <w:pStyle w:val="7"/>
        <w:rPr>
          <w:rFonts w:hint="default" w:eastAsiaTheme="minorEastAsia"/>
          <w:lang w:val="en-US" w:eastAsia="zh-CN"/>
        </w:rPr>
      </w:pPr>
      <w:r>
        <w:rPr>
          <w:rFonts w:hint="eastAsia"/>
          <w:lang w:val="en-US" w:eastAsia="zh-CN"/>
        </w:rPr>
        <w:t>此处与原培养方案不一致的，请各专升本专业统一成此格式</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AA72224" w15:done="0"/>
  <w15:commentEx w15:paraId="46E73438" w15:done="0"/>
  <w15:commentEx w15:paraId="3E2D76A7" w15:done="0"/>
  <w15:commentEx w15:paraId="157078B9" w15:done="0"/>
  <w15:commentEx w15:paraId="73991B28" w15:done="0"/>
  <w15:commentEx w15:paraId="329E75EF" w15:done="0"/>
  <w15:commentEx w15:paraId="76A93D6B" w15:done="0"/>
  <w15:commentEx w15:paraId="733E2971" w15:done="0"/>
  <w15:commentEx w15:paraId="76B83658" w15:done="0"/>
  <w15:commentEx w15:paraId="569D1700" w15:done="0"/>
  <w15:commentEx w15:paraId="6B91285B" w15:done="0"/>
  <w15:commentEx w15:paraId="01F77A0C" w15:done="0"/>
  <w15:commentEx w15:paraId="0C815D0C" w15:done="0"/>
  <w15:commentEx w15:paraId="1032307A" w15:done="0"/>
  <w15:commentEx w15:paraId="3DB0260B" w15:done="0"/>
  <w15:commentEx w15:paraId="70DB7290" w15:done="0"/>
  <w15:commentEx w15:paraId="5B1436AA" w15:done="0"/>
  <w15:commentEx w15:paraId="6F9B688B" w15:done="0"/>
  <w15:commentEx w15:paraId="5ED47863" w15:done="0"/>
  <w15:commentEx w15:paraId="11E0591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11</w:t>
    </w:r>
    <w:r>
      <w:fldChar w:fldCharType="end"/>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4E3F83"/>
    <w:multiLevelType w:val="singleLevel"/>
    <w:tmpl w:val="FA4E3F83"/>
    <w:lvl w:ilvl="0" w:tentative="0">
      <w:start w:val="1"/>
      <w:numFmt w:val="decimal"/>
      <w:suff w:val="space"/>
      <w:lvlText w:val="%1."/>
      <w:lvlJc w:val="left"/>
    </w:lvl>
  </w:abstractNum>
  <w:abstractNum w:abstractNumId="1">
    <w:nsid w:val="6CD75C20"/>
    <w:multiLevelType w:val="singleLevel"/>
    <w:tmpl w:val="6CD75C20"/>
    <w:lvl w:ilvl="0" w:tentative="0">
      <w:start w:val="1"/>
      <w:numFmt w:val="decimal"/>
      <w:suff w:val="space"/>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yx">
    <w15:presenceInfo w15:providerId="None" w15:userId="ryx"/>
  </w15:person>
  <w15:person w15:author="春晓">
    <w15:presenceInfo w15:providerId="WPS Office" w15:userId="105424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A1F57"/>
    <w:rsid w:val="00F12E51"/>
    <w:rsid w:val="02880196"/>
    <w:rsid w:val="0524403D"/>
    <w:rsid w:val="06E86FBF"/>
    <w:rsid w:val="08C51B53"/>
    <w:rsid w:val="08E65A46"/>
    <w:rsid w:val="09A437DB"/>
    <w:rsid w:val="0BA807D6"/>
    <w:rsid w:val="0E212A27"/>
    <w:rsid w:val="0E97073E"/>
    <w:rsid w:val="0F2D573C"/>
    <w:rsid w:val="102D7FBF"/>
    <w:rsid w:val="11FD0580"/>
    <w:rsid w:val="122B6BE4"/>
    <w:rsid w:val="124025F5"/>
    <w:rsid w:val="18EC2604"/>
    <w:rsid w:val="1C587CE2"/>
    <w:rsid w:val="1D5D3C7A"/>
    <w:rsid w:val="1DC2348A"/>
    <w:rsid w:val="1E15300E"/>
    <w:rsid w:val="1FC245D3"/>
    <w:rsid w:val="23026898"/>
    <w:rsid w:val="24F55AE8"/>
    <w:rsid w:val="26F405E9"/>
    <w:rsid w:val="29D66161"/>
    <w:rsid w:val="2F590743"/>
    <w:rsid w:val="30024DDC"/>
    <w:rsid w:val="324F0554"/>
    <w:rsid w:val="32FB10C5"/>
    <w:rsid w:val="35672728"/>
    <w:rsid w:val="35D71389"/>
    <w:rsid w:val="37BF6768"/>
    <w:rsid w:val="399D7E1C"/>
    <w:rsid w:val="3CAD0CC8"/>
    <w:rsid w:val="3ED422BA"/>
    <w:rsid w:val="42585E2C"/>
    <w:rsid w:val="43C90A89"/>
    <w:rsid w:val="47561021"/>
    <w:rsid w:val="4C031E10"/>
    <w:rsid w:val="4C0909EE"/>
    <w:rsid w:val="4DE57592"/>
    <w:rsid w:val="4F8C795F"/>
    <w:rsid w:val="51C67DB4"/>
    <w:rsid w:val="5B985631"/>
    <w:rsid w:val="5BC262B9"/>
    <w:rsid w:val="5DFC3B21"/>
    <w:rsid w:val="5EF56C69"/>
    <w:rsid w:val="64FA3CE4"/>
    <w:rsid w:val="66EB4563"/>
    <w:rsid w:val="6AC32B51"/>
    <w:rsid w:val="6E1631D1"/>
    <w:rsid w:val="6E550814"/>
    <w:rsid w:val="718E432D"/>
    <w:rsid w:val="734D10B9"/>
    <w:rsid w:val="74A00643"/>
    <w:rsid w:val="75B651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ind w:firstLine="723"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360" w:lineRule="exact"/>
      <w:ind w:left="0" w:leftChars="200" w:firstLine="0" w:firstLineChars="0"/>
      <w:outlineLvl w:val="0"/>
    </w:pPr>
    <w:rPr>
      <w:b/>
      <w:kern w:val="44"/>
      <w:sz w:val="28"/>
    </w:rPr>
  </w:style>
  <w:style w:type="paragraph" w:styleId="3">
    <w:name w:val="heading 2"/>
    <w:basedOn w:val="1"/>
    <w:next w:val="1"/>
    <w:unhideWhenUsed/>
    <w:qFormat/>
    <w:uiPriority w:val="0"/>
    <w:pPr>
      <w:keepNext/>
      <w:keepLines/>
      <w:spacing w:before="50" w:beforeLines="50" w:beforeAutospacing="0" w:after="50" w:afterLines="50" w:afterAutospacing="0" w:line="360" w:lineRule="exact"/>
      <w:ind w:left="0" w:leftChars="0" w:firstLine="723" w:firstLineChars="200"/>
      <w:outlineLvl w:val="1"/>
    </w:pPr>
    <w:rPr>
      <w:rFonts w:ascii="Times New Roman" w:hAnsi="Times New Roman"/>
      <w:b/>
      <w:sz w:val="28"/>
    </w:rPr>
  </w:style>
  <w:style w:type="paragraph" w:styleId="4">
    <w:name w:val="heading 3"/>
    <w:basedOn w:val="1"/>
    <w:next w:val="1"/>
    <w:link w:val="17"/>
    <w:unhideWhenUsed/>
    <w:qFormat/>
    <w:uiPriority w:val="0"/>
    <w:pPr>
      <w:keepNext/>
      <w:keepLines/>
      <w:spacing w:before="50" w:beforeLines="50" w:beforeAutospacing="0" w:after="50" w:afterLines="50" w:afterAutospacing="0" w:line="360" w:lineRule="exact"/>
      <w:ind w:left="420" w:leftChars="200" w:firstLine="0" w:firstLineChars="0"/>
      <w:outlineLvl w:val="2"/>
    </w:pPr>
    <w:rPr>
      <w:b/>
      <w:sz w:val="28"/>
    </w:rPr>
  </w:style>
  <w:style w:type="paragraph" w:styleId="5">
    <w:name w:val="heading 4"/>
    <w:basedOn w:val="1"/>
    <w:next w:val="1"/>
    <w:link w:val="18"/>
    <w:unhideWhenUsed/>
    <w:qFormat/>
    <w:uiPriority w:val="0"/>
    <w:pPr>
      <w:keepNext/>
      <w:keepLines/>
      <w:spacing w:before="50" w:beforeLines="50" w:beforeAutospacing="0" w:afterAutospacing="0" w:line="360" w:lineRule="exact"/>
      <w:ind w:left="482" w:firstLine="0" w:firstLineChars="0"/>
      <w:outlineLvl w:val="3"/>
    </w:pPr>
    <w:rPr>
      <w:b/>
      <w:sz w:val="24"/>
    </w:rPr>
  </w:style>
  <w:style w:type="paragraph" w:styleId="6">
    <w:name w:val="heading 5"/>
    <w:basedOn w:val="1"/>
    <w:next w:val="1"/>
    <w:unhideWhenUsed/>
    <w:qFormat/>
    <w:uiPriority w:val="0"/>
    <w:pPr>
      <w:keepNext/>
      <w:keepLines/>
      <w:spacing w:before="50" w:beforeLines="50" w:beforeAutospacing="0" w:after="50" w:afterLines="50" w:afterAutospacing="0" w:line="360" w:lineRule="exact"/>
      <w:outlineLvl w:val="4"/>
    </w:pPr>
    <w:rPr>
      <w:b/>
      <w:sz w:val="21"/>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7">
    <w:name w:val="annotation text"/>
    <w:basedOn w:val="1"/>
    <w:qFormat/>
    <w:uiPriority w:val="0"/>
    <w:pPr>
      <w:jc w:val="left"/>
    </w:pPr>
    <w:rPr>
      <w:rFonts w:asciiTheme="minorHAnsi" w:hAnsiTheme="minorHAnsi" w:eastAsiaTheme="minorEastAsia" w:cstheme="minorBidi"/>
    </w:rPr>
  </w:style>
  <w:style w:type="paragraph" w:styleId="8">
    <w:name w:val="Plain Text"/>
    <w:basedOn w:val="1"/>
    <w:qFormat/>
    <w:uiPriority w:val="0"/>
    <w:pPr>
      <w:spacing w:line="360" w:lineRule="exact"/>
      <w:ind w:firstLine="723" w:firstLineChars="200"/>
    </w:pPr>
    <w:rPr>
      <w:rFonts w:ascii="宋体" w:hAnsi="宋体" w:eastAsia="仿宋" w:cs="Courier New"/>
      <w:b/>
      <w:bCs/>
      <w:sz w:val="24"/>
      <w:szCs w:val="21"/>
    </w:rPr>
  </w:style>
  <w:style w:type="paragraph" w:styleId="9">
    <w:name w:val="footer"/>
    <w:basedOn w:val="1"/>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paragraph" w:styleId="11">
    <w:name w:val="footnote text"/>
    <w:basedOn w:val="1"/>
    <w:qFormat/>
    <w:uiPriority w:val="0"/>
    <w:pPr>
      <w:snapToGrid w:val="0"/>
      <w:jc w:val="left"/>
    </w:pPr>
    <w:rPr>
      <w:rFonts w:ascii="Calibri" w:hAnsi="Calibri" w:eastAsia="微软雅黑"/>
      <w:sz w:val="18"/>
      <w:szCs w:val="18"/>
    </w:rPr>
  </w:style>
  <w:style w:type="paragraph" w:styleId="12">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5">
    <w:name w:val="annotation reference"/>
    <w:qFormat/>
    <w:uiPriority w:val="0"/>
    <w:rPr>
      <w:sz w:val="21"/>
      <w:szCs w:val="21"/>
    </w:rPr>
  </w:style>
  <w:style w:type="character" w:customStyle="1" w:styleId="16">
    <w:name w:val="font91"/>
    <w:basedOn w:val="14"/>
    <w:qFormat/>
    <w:uiPriority w:val="0"/>
    <w:rPr>
      <w:rFonts w:hint="eastAsia" w:ascii="楷体" w:hAnsi="楷体" w:eastAsia="楷体" w:cs="楷体"/>
      <w:color w:val="000000"/>
      <w:sz w:val="24"/>
      <w:szCs w:val="24"/>
      <w:u w:val="none"/>
    </w:rPr>
  </w:style>
  <w:style w:type="character" w:customStyle="1" w:styleId="17">
    <w:name w:val="标题 3 Char"/>
    <w:link w:val="4"/>
    <w:qFormat/>
    <w:uiPriority w:val="0"/>
    <w:rPr>
      <w:rFonts w:ascii="Times New Roman" w:hAnsi="Times New Roman" w:eastAsia="宋体"/>
      <w:b/>
      <w:sz w:val="28"/>
    </w:rPr>
  </w:style>
  <w:style w:type="character" w:customStyle="1" w:styleId="18">
    <w:name w:val="标题 4 Char"/>
    <w:link w:val="5"/>
    <w:qFormat/>
    <w:uiPriority w:val="0"/>
    <w:rPr>
      <w:rFonts w:ascii="Times New Roman" w:hAnsi="Times New Roman" w:eastAsia="宋体"/>
      <w:b/>
      <w:sz w:val="24"/>
    </w:rPr>
  </w:style>
  <w:style w:type="paragraph" w:customStyle="1" w:styleId="19">
    <w:name w:val="方案一级"/>
    <w:basedOn w:val="12"/>
    <w:next w:val="1"/>
    <w:qFormat/>
    <w:uiPriority w:val="0"/>
    <w:pPr>
      <w:keepNext/>
      <w:keepLines/>
      <w:spacing w:before="50" w:beforeLines="50" w:after="50" w:afterLines="50"/>
      <w:ind w:left="420" w:leftChars="200" w:firstLine="0" w:firstLineChars="0"/>
      <w:jc w:val="left"/>
      <w:outlineLvl w:val="1"/>
    </w:pPr>
    <w:rPr>
      <w:rFonts w:ascii="Times New Roman" w:hAnsi="Times New Roman"/>
      <w:sz w:val="28"/>
    </w:rPr>
  </w:style>
  <w:style w:type="paragraph" w:customStyle="1" w:styleId="20">
    <w:name w:val="方案二级"/>
    <w:basedOn w:val="12"/>
    <w:next w:val="1"/>
    <w:link w:val="23"/>
    <w:qFormat/>
    <w:uiPriority w:val="0"/>
    <w:pPr>
      <w:keepNext/>
      <w:keepLines/>
      <w:spacing w:before="50" w:beforeLines="50"/>
      <w:ind w:left="482" w:leftChars="0" w:firstLine="0" w:firstLineChars="0"/>
      <w:jc w:val="left"/>
      <w:outlineLvl w:val="1"/>
    </w:pPr>
    <w:rPr>
      <w:rFonts w:ascii="Times New Roman" w:hAnsi="Times New Roman"/>
      <w:sz w:val="24"/>
    </w:rPr>
  </w:style>
  <w:style w:type="paragraph" w:customStyle="1" w:styleId="21">
    <w:name w:val="方案正文"/>
    <w:basedOn w:val="1"/>
    <w:qFormat/>
    <w:uiPriority w:val="0"/>
    <w:pPr>
      <w:ind w:firstLine="420"/>
      <w:jc w:val="left"/>
    </w:pPr>
    <w:rPr>
      <w:bCs/>
    </w:rPr>
  </w:style>
  <w:style w:type="paragraph" w:customStyle="1" w:styleId="22">
    <w:name w:val="方案三级"/>
    <w:basedOn w:val="12"/>
    <w:link w:val="24"/>
    <w:qFormat/>
    <w:uiPriority w:val="0"/>
    <w:pPr>
      <w:spacing w:before="50" w:beforeLines="50" w:after="50" w:afterLines="50"/>
      <w:ind w:firstLine="420"/>
      <w:jc w:val="left"/>
    </w:pPr>
    <w:rPr>
      <w:rFonts w:ascii="Times New Roman" w:hAnsi="Times New Roman"/>
      <w:bCs/>
      <w:sz w:val="21"/>
    </w:rPr>
  </w:style>
  <w:style w:type="character" w:customStyle="1" w:styleId="23">
    <w:name w:val="培养方案标题二 Char"/>
    <w:link w:val="20"/>
    <w:qFormat/>
    <w:uiPriority w:val="0"/>
    <w:rPr>
      <w:rFonts w:ascii="Times New Roman" w:hAnsi="Times New Roman" w:eastAsia="宋体"/>
      <w:sz w:val="24"/>
    </w:rPr>
  </w:style>
  <w:style w:type="character" w:customStyle="1" w:styleId="24">
    <w:name w:val="培养方案标题三 Char"/>
    <w:link w:val="22"/>
    <w:uiPriority w:val="0"/>
    <w:rPr>
      <w:rFonts w:ascii="Times New Roman" w:hAnsi="Times New Roman" w:eastAsia="宋体"/>
      <w:bCs/>
      <w:sz w:val="21"/>
    </w:rPr>
  </w:style>
  <w:style w:type="character" w:customStyle="1" w:styleId="25">
    <w:name w:val="font71"/>
    <w:basedOn w:val="14"/>
    <w:qFormat/>
    <w:uiPriority w:val="0"/>
    <w:rPr>
      <w:rFonts w:hint="eastAsia" w:ascii="宋体" w:hAnsi="宋体" w:eastAsia="宋体" w:cs="宋体"/>
      <w:color w:val="000000"/>
      <w:sz w:val="21"/>
      <w:szCs w:val="21"/>
      <w:u w:val="none"/>
    </w:rPr>
  </w:style>
  <w:style w:type="paragraph" w:customStyle="1" w:styleId="26">
    <w:name w:val="方案章标题"/>
    <w:next w:val="19"/>
    <w:link w:val="27"/>
    <w:qFormat/>
    <w:uiPriority w:val="0"/>
    <w:pPr>
      <w:keepNext/>
      <w:keepLines/>
      <w:spacing w:line="240" w:lineRule="auto"/>
      <w:ind w:left="0" w:leftChars="0" w:firstLine="0" w:firstLineChars="0"/>
      <w:jc w:val="center"/>
      <w:outlineLvl w:val="0"/>
    </w:pPr>
    <w:rPr>
      <w:rFonts w:ascii="Calibri" w:hAnsi="Calibri" w:eastAsia="黑体" w:cstheme="minorBidi"/>
      <w:b/>
      <w:sz w:val="44"/>
    </w:rPr>
  </w:style>
  <w:style w:type="character" w:customStyle="1" w:styleId="27">
    <w:name w:val="章标题 Char"/>
    <w:link w:val="26"/>
    <w:qFormat/>
    <w:uiPriority w:val="0"/>
    <w:rPr>
      <w:rFonts w:ascii="Calibri" w:hAnsi="Calibri" w:eastAsia="黑体"/>
      <w:b/>
      <w:sz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余</dc:creator>
  <cp:lastModifiedBy>春晓</cp:lastModifiedBy>
  <cp:lastPrinted>2021-11-01T08:04:16Z</cp:lastPrinted>
  <dcterms:modified xsi:type="dcterms:W3CDTF">2021-11-01T08:06:23Z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611F885A3E2C4C6DAAF24B18C178DF61</vt:lpwstr>
  </property>
</Properties>
</file>