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beforeAutospacing="0" w:after="0" w:afterAutospacing="0" w:line="560" w:lineRule="atLeast"/>
        <w:rPr>
          <w:rStyle w:val="7"/>
          <w:rFonts w:ascii="仿宋" w:hAnsi="仿宋" w:eastAsia="仿宋" w:cs="仿宋"/>
          <w:b w:val="0"/>
          <w:bCs w:val="0"/>
          <w:color w:val="000000"/>
          <w:sz w:val="32"/>
          <w:szCs w:val="32"/>
        </w:rPr>
      </w:pPr>
      <w:r>
        <w:rPr>
          <w:rStyle w:val="7"/>
          <w:rFonts w:hint="eastAsia" w:ascii="仿宋" w:hAnsi="仿宋" w:eastAsia="仿宋" w:cs="仿宋"/>
          <w:b w:val="0"/>
          <w:bCs w:val="0"/>
          <w:color w:val="000000"/>
          <w:sz w:val="32"/>
          <w:szCs w:val="32"/>
        </w:rPr>
        <w:t xml:space="preserve">附件7  </w:t>
      </w:r>
    </w:p>
    <w:p>
      <w:pPr>
        <w:pStyle w:val="4"/>
        <w:spacing w:before="0" w:beforeAutospacing="0" w:after="0" w:afterAutospacing="0" w:line="560" w:lineRule="atLeast"/>
        <w:ind w:firstLine="646"/>
        <w:jc w:val="center"/>
        <w:rPr>
          <w:rStyle w:val="7"/>
          <w:rFonts w:asciiTheme="minorEastAsia" w:hAnsiTheme="minorEastAsia" w:eastAsiaTheme="minorEastAsia" w:cstheme="minorEastAsia"/>
          <w:color w:val="000000"/>
          <w:sz w:val="44"/>
          <w:szCs w:val="44"/>
        </w:rPr>
      </w:pPr>
      <w:r>
        <w:rPr>
          <w:rStyle w:val="7"/>
          <w:rFonts w:hint="eastAsia" w:asciiTheme="minorEastAsia" w:hAnsiTheme="minorEastAsia" w:eastAsiaTheme="minorEastAsia" w:cstheme="minorEastAsia"/>
          <w:color w:val="000000"/>
          <w:sz w:val="44"/>
          <w:szCs w:val="44"/>
        </w:rPr>
        <w:t>广州南方学院</w:t>
      </w:r>
      <w:bookmarkStart w:id="0" w:name="_GoBack"/>
      <w:bookmarkEnd w:id="0"/>
    </w:p>
    <w:p>
      <w:pPr>
        <w:pStyle w:val="4"/>
        <w:spacing w:before="0" w:beforeAutospacing="0" w:after="0" w:afterAutospacing="0" w:line="560" w:lineRule="atLeast"/>
        <w:ind w:firstLine="646"/>
        <w:jc w:val="center"/>
        <w:rPr>
          <w:rStyle w:val="7"/>
          <w:rFonts w:asciiTheme="minorEastAsia" w:hAnsiTheme="minorEastAsia" w:eastAsiaTheme="minorEastAsia" w:cstheme="minorEastAsia"/>
          <w:color w:val="000000"/>
          <w:sz w:val="44"/>
          <w:szCs w:val="44"/>
        </w:rPr>
      </w:pPr>
      <w:r>
        <w:rPr>
          <w:rStyle w:val="7"/>
          <w:rFonts w:hint="eastAsia" w:asciiTheme="minorEastAsia" w:hAnsiTheme="minorEastAsia" w:eastAsiaTheme="minorEastAsia" w:cstheme="minorEastAsia"/>
          <w:color w:val="000000"/>
          <w:sz w:val="44"/>
          <w:szCs w:val="44"/>
        </w:rPr>
        <w:t>202</w:t>
      </w:r>
      <w:r>
        <w:rPr>
          <w:rStyle w:val="7"/>
          <w:rFonts w:hint="eastAsia" w:asciiTheme="minorEastAsia" w:hAnsiTheme="minorEastAsia" w:eastAsiaTheme="minorEastAsia" w:cstheme="minorEastAsia"/>
          <w:color w:val="000000"/>
          <w:sz w:val="44"/>
          <w:szCs w:val="44"/>
          <w:lang w:val="en-US" w:eastAsia="zh-CN"/>
        </w:rPr>
        <w:t>2</w:t>
      </w:r>
      <w:r>
        <w:rPr>
          <w:rStyle w:val="7"/>
          <w:rFonts w:hint="eastAsia" w:asciiTheme="minorEastAsia" w:hAnsiTheme="minorEastAsia" w:eastAsiaTheme="minorEastAsia" w:cstheme="minorEastAsia"/>
          <w:color w:val="000000"/>
          <w:sz w:val="44"/>
          <w:szCs w:val="44"/>
        </w:rPr>
        <w:t>年大学生创新创业训练计划项目</w:t>
      </w:r>
    </w:p>
    <w:p>
      <w:pPr>
        <w:pStyle w:val="4"/>
        <w:spacing w:before="0" w:beforeAutospacing="0" w:after="0" w:afterAutospacing="0" w:line="560" w:lineRule="atLeast"/>
        <w:ind w:firstLine="646"/>
        <w:jc w:val="center"/>
        <w:rPr>
          <w:rStyle w:val="7"/>
          <w:rFonts w:asciiTheme="minorEastAsia" w:hAnsiTheme="minorEastAsia" w:eastAsiaTheme="minorEastAsia" w:cstheme="minorEastAsia"/>
          <w:color w:val="000000"/>
          <w:sz w:val="44"/>
          <w:szCs w:val="44"/>
        </w:rPr>
      </w:pPr>
      <w:r>
        <w:rPr>
          <w:rStyle w:val="7"/>
          <w:rFonts w:hint="eastAsia" w:asciiTheme="minorEastAsia" w:hAnsiTheme="minorEastAsia" w:eastAsiaTheme="minorEastAsia" w:cstheme="minorEastAsia"/>
          <w:color w:val="000000"/>
          <w:sz w:val="44"/>
          <w:szCs w:val="44"/>
        </w:rPr>
        <w:t xml:space="preserve">建设团队及指导教师奖励方案  </w:t>
      </w:r>
    </w:p>
    <w:p>
      <w:pPr>
        <w:pStyle w:val="4"/>
        <w:spacing w:before="0" w:beforeAutospacing="0" w:after="0" w:afterAutospacing="0" w:line="560" w:lineRule="atLeast"/>
        <w:ind w:firstLine="646"/>
        <w:jc w:val="both"/>
        <w:rPr>
          <w:rStyle w:val="7"/>
          <w:rFonts w:ascii="仿宋" w:hAnsi="仿宋" w:eastAsia="仿宋" w:cs="仿宋"/>
          <w:color w:val="000000"/>
          <w:sz w:val="32"/>
          <w:szCs w:val="32"/>
        </w:rPr>
      </w:pPr>
    </w:p>
    <w:p>
      <w:pPr>
        <w:pStyle w:val="4"/>
        <w:numPr>
          <w:ilvl w:val="0"/>
          <w:numId w:val="1"/>
        </w:numPr>
        <w:spacing w:before="0" w:beforeAutospacing="0" w:after="0" w:afterAutospacing="0" w:line="560" w:lineRule="atLeast"/>
        <w:ind w:firstLine="646"/>
        <w:rPr>
          <w:rFonts w:ascii="仿宋" w:hAnsi="仿宋" w:eastAsia="仿宋" w:cs="仿宋"/>
          <w:b/>
          <w:bCs/>
          <w:color w:val="000000"/>
          <w:sz w:val="32"/>
          <w:szCs w:val="32"/>
        </w:rPr>
      </w:pPr>
      <w:r>
        <w:rPr>
          <w:rFonts w:hint="eastAsia" w:ascii="仿宋" w:hAnsi="仿宋" w:eastAsia="仿宋" w:cs="仿宋"/>
          <w:b/>
          <w:bCs/>
          <w:color w:val="000000"/>
          <w:sz w:val="32"/>
          <w:szCs w:val="32"/>
        </w:rPr>
        <w:t>对项目建设团队学生的奖励  </w:t>
      </w:r>
    </w:p>
    <w:p>
      <w:pPr>
        <w:pStyle w:val="4"/>
        <w:spacing w:before="0" w:beforeAutospacing="0" w:after="0" w:afterAutospacing="0" w:line="560" w:lineRule="atLeast"/>
        <w:ind w:firstLine="643" w:firstLineChars="200"/>
        <w:rPr>
          <w:rFonts w:ascii="仿宋" w:hAnsi="仿宋" w:eastAsia="仿宋" w:cs="仿宋"/>
          <w:b/>
          <w:bCs/>
          <w:color w:val="000000"/>
          <w:sz w:val="32"/>
          <w:szCs w:val="32"/>
        </w:rPr>
      </w:pPr>
      <w:r>
        <w:rPr>
          <w:rFonts w:hint="eastAsia" w:ascii="仿宋" w:hAnsi="仿宋" w:eastAsia="仿宋" w:cs="仿宋"/>
          <w:b/>
          <w:bCs/>
          <w:color w:val="000000"/>
          <w:sz w:val="32"/>
          <w:szCs w:val="32"/>
        </w:rPr>
        <w:t>（一）创业课程成绩、学分互认</w:t>
      </w:r>
    </w:p>
    <w:p>
      <w:pPr>
        <w:pStyle w:val="4"/>
        <w:spacing w:before="0" w:beforeAutospacing="0" w:after="0" w:afterAutospacing="0" w:line="560" w:lineRule="atLeast"/>
        <w:ind w:firstLine="646"/>
        <w:rPr>
          <w:rFonts w:ascii="仿宋" w:hAnsi="仿宋" w:eastAsia="仿宋" w:cs="仿宋"/>
          <w:color w:val="000000"/>
          <w:sz w:val="32"/>
          <w:szCs w:val="32"/>
        </w:rPr>
      </w:pPr>
      <w:r>
        <w:rPr>
          <w:rFonts w:hint="eastAsia" w:ascii="仿宋" w:hAnsi="仿宋" w:eastAsia="仿宋" w:cs="仿宋"/>
          <w:color w:val="000000"/>
          <w:sz w:val="32"/>
          <w:szCs w:val="32"/>
        </w:rPr>
        <w:t xml:space="preserve"> 为鼓励学生踊跃参加双创实践活动，树立创新创业意识，提升创新创业能力，学校对大创项目建设团队成员给予《创业基础（理论）》、《创业基础（实践）》两门课程学分及成绩互认。</w:t>
      </w:r>
    </w:p>
    <w:p>
      <w:pPr>
        <w:pStyle w:val="4"/>
        <w:numPr>
          <w:ilvl w:val="0"/>
          <w:numId w:val="2"/>
        </w:numPr>
        <w:spacing w:before="0" w:beforeAutospacing="0" w:after="0" w:afterAutospacing="0" w:line="560" w:lineRule="atLeast"/>
        <w:ind w:firstLine="646"/>
        <w:rPr>
          <w:rFonts w:ascii="仿宋" w:hAnsi="仿宋" w:eastAsia="仿宋" w:cs="仿宋"/>
          <w:color w:val="000000"/>
          <w:sz w:val="32"/>
          <w:szCs w:val="32"/>
        </w:rPr>
      </w:pPr>
      <w:r>
        <w:rPr>
          <w:rFonts w:hint="eastAsia" w:ascii="仿宋" w:hAnsi="仿宋" w:eastAsia="仿宋" w:cs="仿宋"/>
          <w:b/>
          <w:bCs/>
          <w:color w:val="000000"/>
          <w:sz w:val="32"/>
          <w:szCs w:val="32"/>
        </w:rPr>
        <w:t>互认对象为：</w:t>
      </w:r>
      <w:r>
        <w:rPr>
          <w:rFonts w:hint="eastAsia" w:ascii="仿宋" w:hAnsi="仿宋" w:eastAsia="仿宋" w:cs="仿宋"/>
          <w:color w:val="000000"/>
          <w:sz w:val="32"/>
          <w:szCs w:val="32"/>
        </w:rPr>
        <w:t>项目结项验收结果为“通过”的项目负责人及成员，且建设过程中未退出建设团队的学生。在项目结项前的任意时段退出建设团队的学生不能进行学分及成绩互认。</w:t>
      </w:r>
    </w:p>
    <w:p>
      <w:pPr>
        <w:pStyle w:val="4"/>
        <w:numPr>
          <w:ilvl w:val="0"/>
          <w:numId w:val="2"/>
        </w:numPr>
        <w:spacing w:before="0" w:beforeAutospacing="0" w:after="0" w:afterAutospacing="0" w:line="560" w:lineRule="atLeast"/>
        <w:ind w:firstLine="646"/>
        <w:rPr>
          <w:rFonts w:ascii="仿宋" w:hAnsi="仿宋" w:eastAsia="仿宋" w:cs="仿宋"/>
          <w:color w:val="000000"/>
          <w:sz w:val="32"/>
          <w:szCs w:val="32"/>
        </w:rPr>
      </w:pPr>
      <w:r>
        <w:rPr>
          <w:rFonts w:hint="eastAsia" w:ascii="仿宋" w:hAnsi="仿宋" w:eastAsia="仿宋" w:cs="仿宋"/>
          <w:b/>
          <w:bCs/>
          <w:color w:val="000000"/>
          <w:sz w:val="32"/>
          <w:szCs w:val="32"/>
        </w:rPr>
        <w:t>创业基础课程成绩互认标准</w:t>
      </w:r>
      <w:r>
        <w:rPr>
          <w:rFonts w:hint="eastAsia" w:ascii="仿宋" w:hAnsi="仿宋" w:eastAsia="仿宋" w:cs="仿宋"/>
          <w:color w:val="000000"/>
          <w:sz w:val="32"/>
          <w:szCs w:val="32"/>
        </w:rPr>
        <w:t>：项目负责人总评成绩95分，项目成员90分，并给予相应课程学分。学生可根据自身情况确定是否进行成绩互认，申请互认的团队学生于项目通过结项后根据教务部发布的通知统一向教务部提交学分、成绩互认申请。</w:t>
      </w:r>
    </w:p>
    <w:p>
      <w:pPr>
        <w:pStyle w:val="4"/>
        <w:spacing w:before="0" w:beforeAutospacing="0" w:after="0" w:afterAutospacing="0" w:line="560" w:lineRule="atLeast"/>
        <w:ind w:left="646"/>
        <w:rPr>
          <w:rFonts w:ascii="仿宋" w:hAnsi="仿宋" w:eastAsia="仿宋" w:cs="仿宋"/>
          <w:b/>
          <w:bCs/>
          <w:color w:val="000000"/>
          <w:sz w:val="32"/>
          <w:szCs w:val="32"/>
        </w:rPr>
      </w:pPr>
      <w:r>
        <w:rPr>
          <w:rFonts w:hint="eastAsia" w:ascii="仿宋" w:hAnsi="仿宋" w:eastAsia="仿宋" w:cs="仿宋"/>
          <w:b/>
          <w:bCs/>
          <w:color w:val="000000"/>
          <w:sz w:val="32"/>
          <w:szCs w:val="32"/>
        </w:rPr>
        <w:t>（二）创业课程免随堂学习、免考</w:t>
      </w:r>
    </w:p>
    <w:p>
      <w:pPr>
        <w:pStyle w:val="4"/>
        <w:spacing w:before="0" w:beforeAutospacing="0" w:after="0" w:afterAutospacing="0" w:line="560" w:lineRule="atLeas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团队学生可根据自身情况选择是否申请免随堂学习和期末考试。根据课程修读的不同进度，将学生分成3类，不同类别学生按不同方式处理：</w:t>
      </w:r>
    </w:p>
    <w:p>
      <w:pPr>
        <w:pStyle w:val="4"/>
        <w:spacing w:before="0" w:beforeAutospacing="0" w:after="0" w:afterAutospacing="0" w:line="560" w:lineRule="atLeast"/>
        <w:ind w:firstLine="640" w:firstLineChars="200"/>
        <w:rPr>
          <w:rFonts w:ascii="仿宋" w:hAnsi="仿宋" w:eastAsia="仿宋" w:cs="仿宋"/>
          <w:color w:val="000000"/>
        </w:rPr>
      </w:pPr>
      <w:r>
        <w:rPr>
          <w:rFonts w:hint="eastAsia" w:ascii="仿宋" w:hAnsi="仿宋" w:eastAsia="仿宋" w:cs="仿宋"/>
          <w:color w:val="000000"/>
          <w:sz w:val="32"/>
          <w:szCs w:val="32"/>
        </w:rPr>
        <w:t>（1）项目立项前已有上述两门课程成绩及学分的学生：学校对该类同学的该两门课程进行调整；</w:t>
      </w:r>
    </w:p>
    <w:p>
      <w:pPr>
        <w:pStyle w:val="4"/>
        <w:spacing w:before="0" w:beforeAutospacing="0" w:after="0" w:afterAutospacing="0" w:line="560" w:lineRule="atLeas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（2）已缴费正在修读创业课程但还没有创业课程成绩的学生：学生可根据自身情况决定是否参加随堂学习，凡是不参加随堂学习的学生须确保项目建设能够通过学习组织的验收，且须向任课老师说明情况；</w:t>
      </w:r>
    </w:p>
    <w:p>
      <w:pPr>
        <w:pStyle w:val="4"/>
        <w:spacing w:before="0" w:beforeAutospacing="0" w:after="0" w:afterAutospacing="0" w:line="560" w:lineRule="atLeast"/>
        <w:ind w:firstLine="640" w:firstLineChars="200"/>
        <w:rPr>
          <w:rFonts w:ascii="仿宋" w:hAnsi="仿宋" w:eastAsia="仿宋" w:cs="仿宋"/>
          <w:color w:val="000000"/>
        </w:rPr>
      </w:pPr>
      <w:r>
        <w:rPr>
          <w:rFonts w:hint="eastAsia" w:ascii="仿宋" w:hAnsi="仿宋" w:eastAsia="仿宋" w:cs="仿宋"/>
          <w:color w:val="000000"/>
          <w:sz w:val="32"/>
          <w:szCs w:val="32"/>
        </w:rPr>
        <w:t>（3）尚未选课及未完成缴费的学生：可申请该2门课程免随堂学习、免考，学校给予该2门课程成绩及学分互认，标准同上；该类学生须在学院开设创业基础课程时，按时完成选课及缴费操作。</w:t>
      </w:r>
    </w:p>
    <w:p>
      <w:pPr>
        <w:pStyle w:val="4"/>
        <w:spacing w:before="0" w:beforeAutospacing="0" w:after="0" w:afterAutospacing="0" w:line="560" w:lineRule="atLeast"/>
        <w:ind w:firstLine="645"/>
        <w:rPr>
          <w:rFonts w:ascii="仿宋" w:hAnsi="仿宋" w:eastAsia="仿宋" w:cs="仿宋"/>
          <w:color w:val="000000"/>
          <w:sz w:val="32"/>
          <w:szCs w:val="32"/>
        </w:rPr>
      </w:pPr>
      <w:r>
        <w:rPr>
          <w:rFonts w:hint="eastAsia" w:ascii="仿宋" w:hAnsi="仿宋" w:eastAsia="仿宋" w:cs="仿宋"/>
          <w:color w:val="000000"/>
          <w:sz w:val="32"/>
          <w:szCs w:val="32"/>
        </w:rPr>
        <w:t>学校将在校内结项验收结果公布通知发布后完成对项目团队成员的该2门课程的成绩处理工作。</w:t>
      </w:r>
    </w:p>
    <w:p>
      <w:pPr>
        <w:pStyle w:val="4"/>
        <w:spacing w:before="0" w:beforeAutospacing="0" w:after="0" w:afterAutospacing="0" w:line="560" w:lineRule="atLeast"/>
        <w:ind w:firstLine="643" w:firstLineChars="200"/>
        <w:rPr>
          <w:rFonts w:ascii="仿宋" w:hAnsi="仿宋" w:eastAsia="仿宋" w:cs="仿宋"/>
          <w:b/>
          <w:bCs/>
          <w:color w:val="000000"/>
          <w:sz w:val="32"/>
          <w:szCs w:val="32"/>
        </w:rPr>
      </w:pPr>
      <w:r>
        <w:rPr>
          <w:rFonts w:hint="eastAsia" w:ascii="仿宋" w:hAnsi="仿宋" w:eastAsia="仿宋" w:cs="仿宋"/>
          <w:b/>
          <w:bCs/>
          <w:color w:val="000000"/>
          <w:sz w:val="32"/>
          <w:szCs w:val="32"/>
        </w:rPr>
        <w:t>（三）优秀学生奖学金评定、优秀毕业生评定、综合素质测评</w:t>
      </w:r>
    </w:p>
    <w:p>
      <w:pPr>
        <w:pStyle w:val="4"/>
        <w:spacing w:before="0" w:beforeAutospacing="0" w:after="0" w:afterAutospacing="0" w:line="560" w:lineRule="atLeas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对于参加大创项目建设实践活动的团队成员给予综合素质测评加分；在优秀学生奖学金评定、优秀毕业生评定中予以优先考虑。具体见《</w:t>
      </w:r>
      <w:r>
        <w:rPr>
          <w:rFonts w:ascii="仿宋" w:hAnsi="仿宋" w:eastAsia="仿宋" w:cs="仿宋"/>
          <w:color w:val="000000"/>
          <w:sz w:val="32"/>
          <w:szCs w:val="32"/>
        </w:rPr>
        <w:t>中山大学南方学院学生奖励管理规定（2018年修订）</w:t>
      </w:r>
      <w:r>
        <w:rPr>
          <w:rFonts w:hint="eastAsia" w:ascii="仿宋" w:hAnsi="仿宋" w:eastAsia="仿宋" w:cs="仿宋"/>
          <w:color w:val="000000"/>
          <w:sz w:val="32"/>
          <w:szCs w:val="32"/>
        </w:rPr>
        <w:t>》（附件1）、《中山大学南方学院学生综合素质测评实施规定（2018年修订）》（附件2）。</w:t>
      </w:r>
    </w:p>
    <w:p>
      <w:pPr>
        <w:pStyle w:val="4"/>
        <w:spacing w:before="0" w:beforeAutospacing="0" w:after="0" w:afterAutospacing="0" w:line="560" w:lineRule="atLeast"/>
        <w:ind w:left="645"/>
        <w:rPr>
          <w:rFonts w:ascii="仿宋" w:hAnsi="仿宋" w:eastAsia="仿宋" w:cs="仿宋"/>
          <w:b/>
          <w:bCs/>
          <w:color w:val="000000"/>
          <w:sz w:val="32"/>
          <w:szCs w:val="32"/>
        </w:rPr>
      </w:pPr>
      <w:r>
        <w:rPr>
          <w:rFonts w:hint="eastAsia" w:ascii="仿宋" w:hAnsi="仿宋" w:eastAsia="仿宋" w:cs="仿宋"/>
          <w:b/>
          <w:bCs/>
          <w:color w:val="000000"/>
          <w:sz w:val="32"/>
          <w:szCs w:val="32"/>
        </w:rPr>
        <w:t>（四）优秀创新创业项目可等同毕业设计（论文）</w:t>
      </w:r>
    </w:p>
    <w:p>
      <w:pPr>
        <w:pStyle w:val="4"/>
        <w:spacing w:before="0" w:beforeAutospacing="0" w:after="0" w:afterAutospacing="0" w:line="560" w:lineRule="atLeas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根据《关于推进2020年广东省大学生创业工作的若干政策措施》，允许优秀创新创业项目申请为毕业设计（论文）。</w:t>
      </w:r>
    </w:p>
    <w:p>
      <w:pPr>
        <w:pStyle w:val="4"/>
        <w:spacing w:before="0" w:beforeAutospacing="0" w:after="0" w:afterAutospacing="0" w:line="560" w:lineRule="atLeast"/>
        <w:ind w:firstLine="643" w:firstLineChars="200"/>
        <w:rPr>
          <w:rFonts w:ascii="仿宋" w:hAnsi="仿宋" w:eastAsia="仿宋" w:cs="仿宋"/>
          <w:b/>
          <w:bCs/>
          <w:color w:val="000000"/>
          <w:sz w:val="32"/>
          <w:szCs w:val="32"/>
        </w:rPr>
      </w:pPr>
      <w:r>
        <w:rPr>
          <w:rFonts w:hint="eastAsia" w:ascii="仿宋" w:hAnsi="仿宋" w:eastAsia="仿宋" w:cs="仿宋"/>
          <w:b/>
          <w:bCs/>
          <w:color w:val="000000"/>
          <w:sz w:val="32"/>
          <w:szCs w:val="32"/>
        </w:rPr>
        <w:t>（五）推荐参加中国“互联网+”大学生创新创业大赛、“挑战杯”中国大学生创业计划大赛等双创赛、学科竞赛</w:t>
      </w:r>
    </w:p>
    <w:p>
      <w:pPr>
        <w:pStyle w:val="4"/>
        <w:spacing w:before="0" w:beforeAutospacing="0" w:after="0" w:afterAutospacing="0" w:line="560" w:lineRule="atLeast"/>
        <w:ind w:firstLine="640" w:firstLineChars="200"/>
        <w:rPr>
          <w:rFonts w:ascii="仿宋" w:hAnsi="仿宋" w:eastAsia="仿宋" w:cs="仿宋"/>
          <w:b/>
          <w:bCs/>
          <w:color w:val="000000"/>
          <w:sz w:val="32"/>
          <w:szCs w:val="32"/>
        </w:rPr>
      </w:pPr>
      <w:r>
        <w:rPr>
          <w:rFonts w:hint="eastAsia" w:ascii="仿宋" w:hAnsi="仿宋" w:eastAsia="仿宋" w:cs="仿宋"/>
          <w:color w:val="000000"/>
          <w:sz w:val="32"/>
          <w:szCs w:val="32"/>
        </w:rPr>
        <w:t>优先推荐优秀大创建设项目参加中国“互联网+”大学生创新创业大赛、“挑战杯”创业大赛及其他各类大学生创新创业竞赛、学科竞赛，在竞赛中获得国家级、省级奖励的学生给予相应的奖励，具体另定。</w:t>
      </w:r>
    </w:p>
    <w:p>
      <w:pPr>
        <w:pStyle w:val="4"/>
        <w:spacing w:before="0" w:beforeAutospacing="0" w:after="0" w:afterAutospacing="0" w:line="560" w:lineRule="atLeast"/>
        <w:ind w:firstLine="643" w:firstLineChars="200"/>
        <w:rPr>
          <w:rFonts w:ascii="仿宋" w:hAnsi="仿宋" w:eastAsia="仿宋" w:cs="仿宋"/>
          <w:b/>
          <w:bCs/>
          <w:color w:val="000000"/>
          <w:sz w:val="32"/>
          <w:szCs w:val="32"/>
        </w:rPr>
      </w:pPr>
      <w:r>
        <w:rPr>
          <w:rFonts w:hint="eastAsia" w:ascii="仿宋" w:hAnsi="仿宋" w:eastAsia="仿宋" w:cs="仿宋"/>
          <w:b/>
          <w:bCs/>
          <w:color w:val="000000"/>
          <w:sz w:val="32"/>
          <w:szCs w:val="32"/>
        </w:rPr>
        <w:t>（六）“高校双创板”挂牌服务</w:t>
      </w:r>
    </w:p>
    <w:p>
      <w:pPr>
        <w:pStyle w:val="4"/>
        <w:spacing w:before="0" w:beforeAutospacing="0" w:after="0" w:afterAutospacing="0" w:line="560" w:lineRule="atLeas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优秀项目可申请“高校双创板”挂牌服务，经广东金融高新区股权交易中心有限公司审核同意进入 “高校双创板”的高校创新创业项目，可享受:免费宣传展示、路演培训等培育孵化服务;优惠的商业计划书辅导、入驻孵化器、创新成果转化等落地支持服务;优先转板、政策对接、投融资对接等资本配套服务。</w:t>
      </w:r>
    </w:p>
    <w:p>
      <w:pPr>
        <w:pStyle w:val="4"/>
        <w:spacing w:before="0" w:beforeAutospacing="0" w:after="0" w:afterAutospacing="0" w:line="560" w:lineRule="atLeast"/>
        <w:ind w:firstLine="645"/>
        <w:rPr>
          <w:rFonts w:ascii="仿宋" w:hAnsi="仿宋" w:eastAsia="仿宋" w:cs="仿宋"/>
          <w:b/>
          <w:bCs/>
          <w:color w:val="000000"/>
        </w:rPr>
      </w:pPr>
      <w:r>
        <w:rPr>
          <w:rFonts w:hint="eastAsia" w:ascii="仿宋" w:hAnsi="仿宋" w:eastAsia="仿宋" w:cs="仿宋"/>
          <w:b/>
          <w:bCs/>
          <w:color w:val="000000"/>
          <w:sz w:val="32"/>
          <w:szCs w:val="32"/>
        </w:rPr>
        <w:t>二、对指导老师的奖励</w:t>
      </w:r>
    </w:p>
    <w:p>
      <w:pPr>
        <w:pStyle w:val="4"/>
        <w:spacing w:before="0" w:beforeAutospacing="0" w:after="0" w:afterAutospacing="0" w:line="560" w:lineRule="atLeast"/>
        <w:ind w:firstLine="645"/>
        <w:rPr>
          <w:rFonts w:ascii="仿宋" w:hAnsi="仿宋" w:eastAsia="仿宋" w:cs="仿宋"/>
          <w:color w:val="000000"/>
          <w:sz w:val="32"/>
          <w:szCs w:val="32"/>
        </w:rPr>
      </w:pPr>
      <w:r>
        <w:rPr>
          <w:rFonts w:hint="eastAsia" w:ascii="仿宋" w:hAnsi="仿宋" w:eastAsia="仿宋" w:cs="仿宋"/>
          <w:color w:val="000000"/>
          <w:sz w:val="32"/>
          <w:szCs w:val="32"/>
        </w:rPr>
        <w:t>该批立项建设的大创项目产生的研究成果，指导老师可根据《中山大学南方学院科研成果计分标准及奖励办法（2018修订）》（中大南方教研〔2019〕1号）申报科研成果奖励。</w:t>
      </w:r>
    </w:p>
    <w:p>
      <w:pPr>
        <w:pStyle w:val="4"/>
        <w:spacing w:before="0" w:beforeAutospacing="0" w:after="0" w:afterAutospacing="0" w:line="560" w:lineRule="atLeast"/>
        <w:ind w:firstLine="645"/>
        <w:rPr>
          <w:rFonts w:ascii="仿宋" w:hAnsi="仿宋" w:eastAsia="仿宋" w:cs="仿宋"/>
          <w:color w:val="000000"/>
          <w:sz w:val="32"/>
          <w:szCs w:val="32"/>
        </w:rPr>
      </w:pPr>
      <w:r>
        <w:rPr>
          <w:rFonts w:hint="eastAsia" w:ascii="仿宋" w:hAnsi="仿宋" w:eastAsia="仿宋" w:cs="仿宋"/>
          <w:color w:val="000000"/>
          <w:sz w:val="32"/>
          <w:szCs w:val="32"/>
        </w:rPr>
        <w:t>学校给予国家级项目、省级项目指导老师在职称评选、评优等方面予以优先支持，各院系结合实际情况给予优秀项目指导老师工作量认定。</w:t>
      </w:r>
    </w:p>
    <w:p>
      <w:pPr>
        <w:pStyle w:val="4"/>
        <w:spacing w:before="0" w:beforeAutospacing="0" w:after="0" w:afterAutospacing="0" w:line="560" w:lineRule="atLeast"/>
        <w:ind w:firstLine="645"/>
        <w:rPr>
          <w:rFonts w:ascii="仿宋" w:hAnsi="仿宋" w:eastAsia="仿宋" w:cs="仿宋"/>
          <w:color w:val="000000"/>
          <w:sz w:val="32"/>
          <w:szCs w:val="32"/>
        </w:rPr>
      </w:pPr>
    </w:p>
    <w:p>
      <w:pPr>
        <w:rPr>
          <w:rFonts w:ascii="仿宋" w:hAnsi="仿宋" w:eastAsia="仿宋" w:cs="仿宋"/>
        </w:rPr>
      </w:pPr>
      <w:r>
        <w:rPr>
          <w:rFonts w:hint="eastAsia" w:ascii="仿宋" w:hAnsi="仿宋" w:eastAsia="仿宋" w:cs="仿宋"/>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仿宋" w:hAnsi="仿宋" w:eastAsia="仿宋" w:cs="仿宋"/>
        </w:rPr>
        <w:instrText xml:space="preserve">ADDIN CNKISM.UserStyle</w:instrText>
      </w:r>
      <w:r>
        <w:rPr>
          <w:rFonts w:ascii="仿宋" w:hAnsi="仿宋" w:eastAsia="仿宋" w:cs="仿宋"/>
        </w:rPr>
        <w:fldChar w:fldCharType="separate"/>
      </w:r>
      <w:r>
        <w:rPr>
          <w:rFonts w:hint="eastAsia" w:ascii="仿宋" w:hAnsi="仿宋" w:eastAsia="仿宋" w:cs="仿宋"/>
        </w:rP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DE47CD"/>
    <w:multiLevelType w:val="singleLevel"/>
    <w:tmpl w:val="80DE47CD"/>
    <w:lvl w:ilvl="0" w:tentative="0">
      <w:start w:val="1"/>
      <w:numFmt w:val="chineseCounting"/>
      <w:suff w:val="nothing"/>
      <w:lvlText w:val="%1、"/>
      <w:lvlJc w:val="left"/>
      <w:rPr>
        <w:rFonts w:hint="eastAsia"/>
      </w:rPr>
    </w:lvl>
  </w:abstractNum>
  <w:abstractNum w:abstractNumId="1">
    <w:nsid w:val="B61D65FD"/>
    <w:multiLevelType w:val="singleLevel"/>
    <w:tmpl w:val="B61D65FD"/>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1E381C"/>
    <w:rsid w:val="009D1B06"/>
    <w:rsid w:val="00EF2FC3"/>
    <w:rsid w:val="03994A20"/>
    <w:rsid w:val="04432722"/>
    <w:rsid w:val="04BD0F22"/>
    <w:rsid w:val="05E05978"/>
    <w:rsid w:val="07F217C3"/>
    <w:rsid w:val="0A40111F"/>
    <w:rsid w:val="0B9E69B9"/>
    <w:rsid w:val="0CEF4CDD"/>
    <w:rsid w:val="0DC57735"/>
    <w:rsid w:val="0EC8014C"/>
    <w:rsid w:val="0FA112B5"/>
    <w:rsid w:val="13CC25E2"/>
    <w:rsid w:val="14A37899"/>
    <w:rsid w:val="15691821"/>
    <w:rsid w:val="16032DC7"/>
    <w:rsid w:val="1BAA7A73"/>
    <w:rsid w:val="1D106B79"/>
    <w:rsid w:val="1F7D6BA1"/>
    <w:rsid w:val="201928AE"/>
    <w:rsid w:val="208C266E"/>
    <w:rsid w:val="21184D3F"/>
    <w:rsid w:val="21657913"/>
    <w:rsid w:val="25E927D8"/>
    <w:rsid w:val="276858A2"/>
    <w:rsid w:val="28437868"/>
    <w:rsid w:val="2A4073D6"/>
    <w:rsid w:val="30964F91"/>
    <w:rsid w:val="325F704A"/>
    <w:rsid w:val="3315019A"/>
    <w:rsid w:val="35EB3CA7"/>
    <w:rsid w:val="38ED0444"/>
    <w:rsid w:val="3A09156E"/>
    <w:rsid w:val="3BE73908"/>
    <w:rsid w:val="3C3C19E3"/>
    <w:rsid w:val="3D412862"/>
    <w:rsid w:val="3D45232E"/>
    <w:rsid w:val="3E817E83"/>
    <w:rsid w:val="3EB47B8B"/>
    <w:rsid w:val="426F0BAA"/>
    <w:rsid w:val="442D65BE"/>
    <w:rsid w:val="466E690F"/>
    <w:rsid w:val="4B015998"/>
    <w:rsid w:val="4B0B7D32"/>
    <w:rsid w:val="4BAD1350"/>
    <w:rsid w:val="4CBF3481"/>
    <w:rsid w:val="4EC27B56"/>
    <w:rsid w:val="4EC4100F"/>
    <w:rsid w:val="50D7345D"/>
    <w:rsid w:val="50DC76C9"/>
    <w:rsid w:val="53EA742B"/>
    <w:rsid w:val="56176940"/>
    <w:rsid w:val="576D1184"/>
    <w:rsid w:val="5AAE2D71"/>
    <w:rsid w:val="5B644B6B"/>
    <w:rsid w:val="5E354BEA"/>
    <w:rsid w:val="5E7F2CD0"/>
    <w:rsid w:val="5F381CD3"/>
    <w:rsid w:val="6073687C"/>
    <w:rsid w:val="62E52A29"/>
    <w:rsid w:val="647D0E80"/>
    <w:rsid w:val="67A804B7"/>
    <w:rsid w:val="683F091B"/>
    <w:rsid w:val="68B31BDD"/>
    <w:rsid w:val="6B6256C2"/>
    <w:rsid w:val="6FD30C98"/>
    <w:rsid w:val="6FE6077D"/>
    <w:rsid w:val="743275CB"/>
    <w:rsid w:val="767D4D59"/>
    <w:rsid w:val="76A87B41"/>
    <w:rsid w:val="770E3464"/>
    <w:rsid w:val="786B579F"/>
    <w:rsid w:val="7B263B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iPriority w:val="0"/>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7">
    <w:name w:val="Strong"/>
    <w:qFormat/>
    <w:uiPriority w:val="22"/>
    <w:rPr>
      <w:b/>
      <w:bCs/>
    </w:rPr>
  </w:style>
  <w:style w:type="character" w:customStyle="1" w:styleId="8">
    <w:name w:val="页眉 字符"/>
    <w:basedOn w:val="6"/>
    <w:link w:val="3"/>
    <w:uiPriority w:val="0"/>
    <w:rPr>
      <w:rFonts w:asciiTheme="minorHAnsi" w:hAnsiTheme="minorHAnsi" w:eastAsiaTheme="minorEastAsia" w:cstheme="minorBidi"/>
      <w:kern w:val="2"/>
      <w:sz w:val="18"/>
      <w:szCs w:val="18"/>
    </w:rPr>
  </w:style>
  <w:style w:type="character" w:customStyle="1" w:styleId="9">
    <w:name w:val="页脚 字符"/>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Kingsoft</Company>
  <Pages>4</Pages>
  <Words>1340</Words>
  <Characters>1360</Characters>
  <Lines>10</Lines>
  <Paragraphs>2</Paragraphs>
  <TotalTime>45</TotalTime>
  <ScaleCrop>false</ScaleCrop>
  <LinksUpToDate>false</LinksUpToDate>
  <CharactersWithSpaces>1368</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linmingxiu</dc:creator>
  <cp:lastModifiedBy>PC</cp:lastModifiedBy>
  <dcterms:modified xsi:type="dcterms:W3CDTF">2022-05-04T07:19:48Z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E2452826F46E4A7995EF75EC9CEA6AC0</vt:lpwstr>
  </property>
</Properties>
</file>