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723" w:firstLineChars="200"/>
        <w:jc w:val="center"/>
        <w:textAlignment w:val="auto"/>
        <w:outlineLvl w:val="9"/>
        <w:rPr>
          <w:rFonts w:hint="eastAsia" w:asciiTheme="minorEastAsia" w:hAnsiTheme="minorEastAsia" w:eastAsiaTheme="minorEastAsia" w:cstheme="minorEastAsia"/>
          <w:b/>
          <w:bCs/>
          <w:sz w:val="36"/>
          <w:szCs w:val="36"/>
          <w:lang w:val="en-US" w:eastAsia="zh-Hans"/>
        </w:rPr>
      </w:pPr>
      <w:r>
        <w:rPr>
          <w:rFonts w:hint="eastAsia" w:asciiTheme="minorEastAsia" w:hAnsiTheme="minorEastAsia" w:cstheme="minorEastAsia"/>
          <w:b/>
          <w:bCs/>
          <w:sz w:val="36"/>
          <w:szCs w:val="36"/>
          <w:lang w:val="en-US" w:eastAsia="zh-Hans"/>
        </w:rPr>
        <w:t>质量工程项目申报指南</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2" w:firstLineChars="200"/>
        <w:jc w:val="both"/>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1</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实验教学示范中心。</w:t>
      </w:r>
      <w:r>
        <w:rPr>
          <w:rFonts w:hint="eastAsia" w:asciiTheme="minorEastAsia" w:hAnsiTheme="minorEastAsia" w:eastAsiaTheme="minorEastAsia" w:cstheme="minorEastAsia"/>
          <w:sz w:val="28"/>
          <w:szCs w:val="28"/>
        </w:rPr>
        <w:t>支持学科布点少、实验体系全、教学效益高、学校投入大的示范中心建设,鼓励学校积极引入外部资源，与企业、科研院所联合共建专业教学实验室。加大对粤东西北地区高校、新建本科高校(校区)的支持力度，持续改善学校(校区)实践教学条件。推动省级以上实验教学示范中心(教学实验室)面向全省本科高校开放共享。</w:t>
      </w:r>
      <w:r>
        <w:rPr>
          <w:rFonts w:hint="eastAsia" w:asciiTheme="minorEastAsia" w:hAnsiTheme="minorEastAsia" w:eastAsiaTheme="minorEastAsia" w:cstheme="minorEastAsia"/>
          <w:b/>
          <w:bCs/>
          <w:sz w:val="28"/>
          <w:szCs w:val="28"/>
        </w:rPr>
        <w:t>项目载体:实验教学示范中心</w:t>
      </w:r>
      <w:r>
        <w:rPr>
          <w:rFonts w:hint="eastAsia" w:asciiTheme="minorEastAsia" w:hAnsiTheme="minorEastAsia" w:cstheme="minorEastAsia"/>
          <w:b/>
          <w:bCs/>
          <w:sz w:val="28"/>
          <w:szCs w:val="28"/>
          <w:lang w:eastAsia="zh-CN"/>
        </w:rPr>
        <w:t>、</w:t>
      </w:r>
      <w:r>
        <w:rPr>
          <w:rFonts w:hint="eastAsia" w:asciiTheme="minorEastAsia" w:hAnsiTheme="minorEastAsia" w:eastAsiaTheme="minorEastAsia" w:cstheme="minorEastAsia"/>
          <w:b/>
          <w:bCs/>
          <w:sz w:val="28"/>
          <w:szCs w:val="28"/>
        </w:rPr>
        <w:t>联合教学实验室。</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2" w:firstLineChars="200"/>
        <w:jc w:val="both"/>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科产教融合专业实践基地。</w:t>
      </w:r>
      <w:r>
        <w:rPr>
          <w:rFonts w:hint="eastAsia" w:asciiTheme="minorEastAsia" w:hAnsiTheme="minorEastAsia" w:eastAsiaTheme="minorEastAsia" w:cstheme="minorEastAsia"/>
          <w:sz w:val="28"/>
          <w:szCs w:val="28"/>
        </w:rPr>
        <w:t>鼓励高校、院系与大中型企业、行业协会、产业园区、科研院所共建科产教融合实践教学基地，进一步拓宽合作领域、拓展合作深度，突出科教融合、产教融合，吸引合作方深度参与基地实践教学，共同开发实践课程体系、共同制定实践教学方案、共同实施实践教学过程、共同评价实践教学成效、共同改进实践教学方式，形成基地实践教学与专业课堂教学互促互补的良好局面，打造一支高水平“双师型”教师队伍。</w:t>
      </w:r>
      <w:r>
        <w:rPr>
          <w:rFonts w:hint="eastAsia" w:asciiTheme="minorEastAsia" w:hAnsiTheme="minorEastAsia" w:eastAsiaTheme="minorEastAsia" w:cstheme="minorEastAsia"/>
          <w:b/>
          <w:bCs/>
          <w:sz w:val="28"/>
          <w:szCs w:val="28"/>
        </w:rPr>
        <w:t>项目载体:科产教融合专业实践基地。</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2" w:firstLineChars="200"/>
        <w:jc w:val="both"/>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3</w:t>
      </w:r>
      <w:r>
        <w:rPr>
          <w:rFonts w:hint="eastAsia" w:asciiTheme="minorEastAsia" w:hAnsiTheme="minorEastAsia" w:cstheme="minorEastAsia"/>
          <w:b/>
          <w:bCs/>
          <w:sz w:val="28"/>
          <w:szCs w:val="28"/>
          <w:lang w:val="en-US" w:eastAsia="zh-CN"/>
        </w:rPr>
        <w:t>大学生</w:t>
      </w:r>
      <w:r>
        <w:rPr>
          <w:rFonts w:hint="eastAsia" w:asciiTheme="minorEastAsia" w:hAnsiTheme="minorEastAsia" w:eastAsiaTheme="minorEastAsia" w:cstheme="minorEastAsia"/>
          <w:b/>
          <w:bCs/>
          <w:sz w:val="28"/>
          <w:szCs w:val="28"/>
        </w:rPr>
        <w:t>社会实践</w:t>
      </w:r>
      <w:r>
        <w:rPr>
          <w:rFonts w:hint="eastAsia" w:asciiTheme="minorEastAsia" w:hAnsiTheme="minorEastAsia" w:cstheme="minorEastAsia"/>
          <w:b/>
          <w:bCs/>
          <w:sz w:val="28"/>
          <w:szCs w:val="28"/>
          <w:lang w:eastAsia="zh-CN"/>
        </w:rPr>
        <w:t>教学</w:t>
      </w:r>
      <w:r>
        <w:rPr>
          <w:rFonts w:hint="eastAsia" w:asciiTheme="minorEastAsia" w:hAnsiTheme="minorEastAsia" w:eastAsiaTheme="minorEastAsia" w:cstheme="minorEastAsia"/>
          <w:b/>
          <w:bCs/>
          <w:sz w:val="28"/>
          <w:szCs w:val="28"/>
        </w:rPr>
        <w:t>基地。</w:t>
      </w:r>
      <w:r>
        <w:rPr>
          <w:rFonts w:hint="eastAsia" w:asciiTheme="minorEastAsia" w:hAnsiTheme="minorEastAsia" w:eastAsiaTheme="minorEastAsia" w:cstheme="minorEastAsia"/>
          <w:sz w:val="28"/>
          <w:szCs w:val="28"/>
        </w:rPr>
        <w:t>支持学校、院系充分利用周边人文、历史、革命、自然、旅游、乡村等社会资源，联合地方政府、有关部门或其他高校，共建大学生社会实践</w:t>
      </w:r>
      <w:r>
        <w:rPr>
          <w:rFonts w:hint="eastAsia" w:asciiTheme="minorEastAsia" w:hAnsiTheme="minorEastAsia" w:cstheme="minorEastAsia"/>
          <w:sz w:val="28"/>
          <w:szCs w:val="28"/>
          <w:lang w:eastAsia="zh-CN"/>
        </w:rPr>
        <w:t>教学</w:t>
      </w:r>
      <w:r>
        <w:rPr>
          <w:rFonts w:hint="eastAsia" w:asciiTheme="minorEastAsia" w:hAnsiTheme="minorEastAsia" w:eastAsiaTheme="minorEastAsia" w:cstheme="minorEastAsia"/>
          <w:sz w:val="28"/>
          <w:szCs w:val="28"/>
        </w:rPr>
        <w:t>基地，基地建设同时突出公益性与学术性，紧密结合专业人才培养需求，以实践课程及实践活动为主要教学手段，通过认知、体验、发现、探究、感悟等学习方式，帮助学生加深社会认识、关心社会发展，引导学生利用专业知识解决社会问题。通过基地建设,在专业教育得到强化的同时，推动实现德育、美育、体育和劳动教育实践化，促进学生全面发展。</w:t>
      </w:r>
      <w:r>
        <w:rPr>
          <w:rFonts w:hint="eastAsia" w:asciiTheme="minorEastAsia" w:hAnsiTheme="minorEastAsia" w:eastAsiaTheme="minorEastAsia" w:cstheme="minorEastAsia"/>
          <w:b/>
          <w:bCs/>
          <w:sz w:val="28"/>
          <w:szCs w:val="28"/>
        </w:rPr>
        <w:t>项目载体:</w:t>
      </w:r>
      <w:r>
        <w:rPr>
          <w:rFonts w:hint="eastAsia" w:asciiTheme="minorEastAsia" w:hAnsiTheme="minorEastAsia" w:cstheme="minorEastAsia"/>
          <w:b/>
          <w:bCs/>
          <w:sz w:val="28"/>
          <w:szCs w:val="28"/>
          <w:lang w:eastAsia="zh-CN"/>
        </w:rPr>
        <w:t>大学生</w:t>
      </w:r>
      <w:r>
        <w:rPr>
          <w:rFonts w:hint="eastAsia" w:asciiTheme="minorEastAsia" w:hAnsiTheme="minorEastAsia" w:eastAsiaTheme="minorEastAsia" w:cstheme="minorEastAsia"/>
          <w:b/>
          <w:bCs/>
          <w:sz w:val="28"/>
          <w:szCs w:val="28"/>
        </w:rPr>
        <w:t>社会实践</w:t>
      </w:r>
      <w:r>
        <w:rPr>
          <w:rFonts w:hint="eastAsia" w:asciiTheme="minorEastAsia" w:hAnsiTheme="minorEastAsia" w:cstheme="minorEastAsia"/>
          <w:b/>
          <w:bCs/>
          <w:sz w:val="28"/>
          <w:szCs w:val="28"/>
          <w:lang w:eastAsia="zh-CN"/>
        </w:rPr>
        <w:t>教学</w:t>
      </w:r>
      <w:r>
        <w:rPr>
          <w:rFonts w:hint="eastAsia" w:asciiTheme="minorEastAsia" w:hAnsiTheme="minorEastAsia" w:eastAsiaTheme="minorEastAsia" w:cstheme="minorEastAsia"/>
          <w:b/>
          <w:bCs/>
          <w:sz w:val="28"/>
          <w:szCs w:val="28"/>
        </w:rPr>
        <w:t>基地。</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2" w:firstLineChars="200"/>
        <w:jc w:val="both"/>
        <w:textAlignment w:val="auto"/>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b/>
          <w:bCs/>
          <w:sz w:val="28"/>
          <w:szCs w:val="28"/>
        </w:rPr>
        <w:t>4</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cstheme="minorEastAsia"/>
          <w:b/>
          <w:bCs/>
          <w:sz w:val="28"/>
          <w:szCs w:val="28"/>
          <w:lang w:eastAsia="zh-CN"/>
        </w:rPr>
        <w:t>课程</w:t>
      </w:r>
      <w:r>
        <w:rPr>
          <w:rFonts w:hint="eastAsia" w:asciiTheme="minorEastAsia" w:hAnsiTheme="minorEastAsia" w:eastAsiaTheme="minorEastAsia" w:cstheme="minorEastAsia"/>
          <w:b/>
          <w:bCs/>
          <w:sz w:val="28"/>
          <w:szCs w:val="28"/>
        </w:rPr>
        <w:t>教研</w:t>
      </w:r>
      <w:r>
        <w:rPr>
          <w:rFonts w:hint="eastAsia" w:asciiTheme="minorEastAsia" w:hAnsiTheme="minorEastAsia" w:cstheme="minorEastAsia"/>
          <w:b/>
          <w:bCs/>
          <w:sz w:val="28"/>
          <w:szCs w:val="28"/>
          <w:lang w:eastAsia="zh-CN"/>
        </w:rPr>
        <w:t>室</w:t>
      </w:r>
      <w:r>
        <w:rPr>
          <w:rFonts w:hint="eastAsia" w:asciiTheme="minorEastAsia" w:hAnsiTheme="minorEastAsia" w:eastAsiaTheme="minorEastAsia" w:cstheme="minorEastAsia"/>
          <w:b/>
          <w:bCs/>
          <w:sz w:val="28"/>
          <w:szCs w:val="28"/>
        </w:rPr>
        <w:t>。</w:t>
      </w:r>
      <w:r>
        <w:rPr>
          <w:rFonts w:hint="eastAsia" w:asciiTheme="minorEastAsia" w:hAnsiTheme="minorEastAsia" w:eastAsiaTheme="minorEastAsia" w:cstheme="minorEastAsia"/>
          <w:b w:val="0"/>
          <w:bCs w:val="0"/>
          <w:sz w:val="28"/>
          <w:szCs w:val="28"/>
        </w:rPr>
        <w:t>以有利于提高课程教学质量、有利于达成课程教学目标为原则，以课程或者课程群为基本单位建设教研室。教研室负责人一般由教学名师或专业骨干教师充任,设立相对稳定的办公场所，负责人与成员共同制定课程建设计划，完成课程设计、讲授、教学检查、考核评价等工作，教研室内部开展常态化的教学专题研讨</w:t>
      </w:r>
      <w:r>
        <w:rPr>
          <w:rFonts w:hint="eastAsia" w:asciiTheme="minorEastAsia" w:hAnsi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交流、观摩、协作等活动，实施教学帮扶、青年教师导师制和集体备课制度，完善青年教师培养及师资梯队建设机制，不断提高教研室整体教学水平。</w:t>
      </w:r>
      <w:r>
        <w:rPr>
          <w:rFonts w:hint="eastAsia" w:asciiTheme="minorEastAsia" w:hAnsiTheme="minorEastAsia" w:eastAsiaTheme="minorEastAsia" w:cstheme="minorEastAsia"/>
          <w:b/>
          <w:bCs/>
          <w:sz w:val="28"/>
          <w:szCs w:val="28"/>
        </w:rPr>
        <w:t>项目载体:课程教研室。</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2" w:firstLineChars="200"/>
        <w:jc w:val="both"/>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cstheme="minorEastAsia"/>
          <w:b/>
          <w:bCs/>
          <w:sz w:val="28"/>
          <w:szCs w:val="28"/>
          <w:lang w:val="en-US" w:eastAsia="zh-CN"/>
        </w:rPr>
        <w:t>5</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现代产业学院。</w:t>
      </w:r>
      <w:r>
        <w:rPr>
          <w:rFonts w:hint="eastAsia" w:asciiTheme="minorEastAsia" w:hAnsiTheme="minorEastAsia" w:eastAsiaTheme="minorEastAsia" w:cstheme="minorEastAsia"/>
          <w:sz w:val="28"/>
          <w:szCs w:val="28"/>
        </w:rPr>
        <w:t>持续深化科产教融合，引导学校结合国家发展战略和区域经济产业发展需求，突出比较优势，整合优化专业体系，联合大中企业、地方政府、产业园区、科研院所等建设现代产业学院。构建多主体共管、稳定有序的管理架构，引导各主体深度参与学院人才培养全过程，培养造就大批高素质创新型人才，为产业持续健康快速发展提供源源不断人才支撑。支持高校围绕我省战略支柱产业和战略新兴产业集群,积极建设微电子学院、软件学院、网络安全学院、储能技术学院等特色化专业学院。</w:t>
      </w:r>
      <w:r>
        <w:rPr>
          <w:rFonts w:hint="eastAsia" w:asciiTheme="minorEastAsia" w:hAnsiTheme="minorEastAsia" w:eastAsiaTheme="minorEastAsia" w:cstheme="minorEastAsia"/>
          <w:b/>
          <w:bCs/>
          <w:sz w:val="28"/>
          <w:szCs w:val="28"/>
        </w:rPr>
        <w:t>项目载体:</w:t>
      </w:r>
      <w:r>
        <w:rPr>
          <w:rFonts w:hint="eastAsia" w:asciiTheme="minorEastAsia" w:hAnsiTheme="minorEastAsia" w:cstheme="minorEastAsia"/>
          <w:b/>
          <w:bCs/>
          <w:sz w:val="28"/>
          <w:szCs w:val="28"/>
          <w:lang w:eastAsia="zh-CN"/>
        </w:rPr>
        <w:t>现代</w:t>
      </w:r>
      <w:r>
        <w:rPr>
          <w:rFonts w:hint="eastAsia" w:asciiTheme="minorEastAsia" w:hAnsiTheme="minorEastAsia" w:eastAsiaTheme="minorEastAsia" w:cstheme="minorEastAsia"/>
          <w:b/>
          <w:bCs/>
          <w:sz w:val="28"/>
          <w:szCs w:val="28"/>
        </w:rPr>
        <w:t>产业学院。</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2"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cstheme="minorEastAsia"/>
          <w:b/>
          <w:bCs/>
          <w:sz w:val="28"/>
          <w:szCs w:val="28"/>
          <w:lang w:val="en-US" w:eastAsia="zh-CN"/>
        </w:rPr>
        <w:t>6</w:t>
      </w:r>
      <w:bookmarkStart w:id="0" w:name="_GoBack"/>
      <w:bookmarkEnd w:id="0"/>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专项人才培养计划。</w:t>
      </w:r>
      <w:r>
        <w:rPr>
          <w:rFonts w:hint="eastAsia" w:asciiTheme="minorEastAsia" w:hAnsiTheme="minorEastAsia" w:eastAsiaTheme="minorEastAsia" w:cstheme="minorEastAsia"/>
          <w:sz w:val="28"/>
          <w:szCs w:val="28"/>
        </w:rPr>
        <w:t>全面推进“五新”建设改革，鼓励学校以特定学科、行业或产业复合型、应用型、创新型人才培养为主要导向，以专业或专业群为基本单位，通过实验班、创新班、特色班等载体开展专项人才培养计划。计划须主动服务国家和省重大发展战略，服务特定学科、科技或产业发展，以其紧缺人才培养为根本任务，大胆创新人才培养模式，持续深入推进实施，逐步形成或提升学校人才培养比较优势，彰显学校办学特色，增强学校人才支撑和社会服务能力。计划范围包括但不限于教育“六卓越一拔尖”人才培养计划，重点支持高校积极探索实施涉外法治、国际谈判、小语种、公共卫生、儿科医生、中医药、人工智能、智能制造、集成电路、数字经济、跨境电商、智慧物流、网络安全、安全工程、生物能源、海洋技术、新材料、社会工作、养老服务、文化旅游、乡村振兴及基础学科相关领域人才培养计划。</w:t>
      </w:r>
      <w:r>
        <w:rPr>
          <w:rFonts w:hint="eastAsia" w:asciiTheme="minorEastAsia" w:hAnsiTheme="minorEastAsia" w:eastAsiaTheme="minorEastAsia" w:cstheme="minorEastAsia"/>
          <w:b/>
          <w:bCs/>
          <w:sz w:val="28"/>
          <w:szCs w:val="28"/>
        </w:rPr>
        <w:t>项目载体:专项人才培养计划。</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pPr>
        <w:keepNext w:val="0"/>
        <w:keepLines w:val="0"/>
        <w:widowControl/>
        <w:suppressLineNumbers w:val="0"/>
        <w:pBdr>
          <w:top w:val="none" w:color="auto" w:sz="0" w:space="0"/>
          <w:left w:val="none" w:color="auto" w:sz="0" w:space="0"/>
          <w:bottom w:val="none" w:color="auto" w:sz="0" w:space="0"/>
          <w:right w:val="none" w:color="auto" w:sz="0" w:space="0"/>
        </w:pBdr>
        <w:spacing w:before="285" w:beforeAutospacing="0" w:after="0" w:afterAutospacing="0"/>
        <w:ind w:left="0" w:right="0" w:firstLine="0"/>
        <w:jc w:val="left"/>
        <w:rPr>
          <w:rFonts w:hint="eastAsia" w:ascii="微软雅黑" w:hAnsi="微软雅黑" w:eastAsia="微软雅黑" w:cs="微软雅黑"/>
          <w:i w:val="0"/>
          <w:caps w:val="0"/>
          <w:color w:val="000000"/>
          <w:spacing w:val="27"/>
          <w:kern w:val="0"/>
          <w:sz w:val="24"/>
          <w:szCs w:val="24"/>
          <w:lang w:val="en-US" w:eastAsia="zh-Hans" w:bidi="ar"/>
        </w:rPr>
      </w:pPr>
      <w:r>
        <w:rPr>
          <w:rFonts w:hint="eastAsia" w:ascii="微软雅黑" w:hAnsi="微软雅黑" w:eastAsia="微软雅黑" w:cs="微软雅黑"/>
          <w:i w:val="0"/>
          <w:caps w:val="0"/>
          <w:color w:val="000000"/>
          <w:spacing w:val="27"/>
          <w:kern w:val="0"/>
          <w:sz w:val="24"/>
          <w:szCs w:val="24"/>
          <w:lang w:val="en-US" w:eastAsia="zh-Hans"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285" w:beforeAutospacing="0" w:after="0" w:afterAutospacing="0"/>
        <w:ind w:left="0" w:right="0" w:firstLine="0"/>
        <w:jc w:val="center"/>
        <w:rPr>
          <w:rFonts w:hint="default" w:ascii="微软雅黑" w:hAnsi="微软雅黑" w:eastAsia="微软雅黑" w:cs="微软雅黑"/>
          <w:i w:val="0"/>
          <w:caps w:val="0"/>
          <w:color w:val="000000"/>
          <w:spacing w:val="27"/>
          <w:kern w:val="2"/>
          <w:sz w:val="45"/>
          <w:szCs w:val="45"/>
        </w:rPr>
      </w:pPr>
      <w:r>
        <w:rPr>
          <w:rFonts w:hint="default" w:ascii="微软雅黑" w:hAnsi="微软雅黑" w:eastAsia="微软雅黑" w:cs="微软雅黑"/>
          <w:i w:val="0"/>
          <w:caps w:val="0"/>
          <w:color w:val="000000"/>
          <w:spacing w:val="27"/>
          <w:kern w:val="0"/>
          <w:sz w:val="45"/>
          <w:szCs w:val="45"/>
          <w:lang w:val="en-US" w:eastAsia="zh-CN" w:bidi="ar"/>
        </w:rPr>
        <w:t>教育部办公厅 工业和信息化部办公厅关于印发《现代产业学院建设指南(试行)》的通知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socialshare" w:hAnsi="socialshare" w:eastAsia="socialshare" w:cs="socialshare"/>
          <w:i w:val="0"/>
          <w:caps w:val="0"/>
          <w:color w:val="999999"/>
          <w:spacing w:val="11"/>
          <w:kern w:val="2"/>
          <w:sz w:val="24"/>
          <w:szCs w:val="24"/>
        </w:rPr>
      </w:pPr>
      <w:r>
        <w:rPr>
          <w:rFonts w:hint="default" w:ascii="微软雅黑" w:hAnsi="微软雅黑" w:eastAsia="微软雅黑" w:cs="微软雅黑"/>
          <w:i w:val="0"/>
          <w:caps w:val="0"/>
          <w:color w:val="999999"/>
          <w:spacing w:val="11"/>
          <w:kern w:val="0"/>
          <w:sz w:val="18"/>
          <w:szCs w:val="18"/>
          <w:lang w:val="en-US" w:eastAsia="zh-CN" w:bidi="ar"/>
        </w:rPr>
        <w:t xml:space="preserve"> </w:t>
      </w:r>
      <w:r>
        <w:rPr>
          <w:rFonts w:hint="default" w:ascii="Calibri" w:hAnsi="Calibri" w:cs="Times New Roman" w:eastAsiaTheme="minorEastAsia"/>
          <w:kern w:val="2"/>
          <w:sz w:val="21"/>
          <w:szCs w:val="21"/>
          <w:lang w:val="en-US" w:eastAsia="zh-CN" w:bidi="ar"/>
        </w:rPr>
        <w:fldChar w:fldCharType="begin"/>
      </w:r>
      <w:r>
        <w:rPr>
          <w:rFonts w:hint="default" w:ascii="Calibri" w:hAnsi="Calibri" w:cs="Times New Roman" w:eastAsiaTheme="minorEastAsia"/>
          <w:kern w:val="2"/>
          <w:sz w:val="21"/>
          <w:szCs w:val="21"/>
          <w:lang w:val="en-US" w:eastAsia="zh-CN" w:bidi="ar"/>
        </w:rPr>
        <w:instrText xml:space="preserve"> HYPERLINK "http://service.weibo.com/share/share.php?url=https://www.eol.cn/news/yaowen/202008/t20200828_2001204.shtml&amp;title=%E4%B8%AD%E5%9B%BD%E6%95%99%E8%82%B2%E5%9C%A8%E7%BA%BF-%E6%8E%A8%E5%8A%A8%E6%95%99%E8%82%B2%E5%89%8D%E8%BF%9B%E7%9A%84%E5%8A%9B%E9%87%8F&amp;pic=http://www.eol.cn/e_images/index/2018/fxlogo.jpg&amp;appkey=" </w:instrText>
      </w:r>
      <w:r>
        <w:rPr>
          <w:rFonts w:hint="default" w:ascii="Calibri" w:hAnsi="Calibri" w:cs="Times New Roman" w:eastAsiaTheme="minorEastAsia"/>
          <w:kern w:val="2"/>
          <w:sz w:val="21"/>
          <w:szCs w:val="21"/>
          <w:lang w:val="en-US" w:eastAsia="zh-CN" w:bidi="ar"/>
        </w:rPr>
        <w:fldChar w:fldCharType="separate"/>
      </w:r>
      <w:r>
        <w:rPr>
          <w:rFonts w:hint="default" w:ascii="Calibri" w:hAnsi="Calibri" w:cs="Times New Roman" w:eastAsiaTheme="minorEastAsia"/>
          <w:kern w:val="2"/>
          <w:sz w:val="21"/>
          <w:szCs w:val="21"/>
          <w:lang w:val="en-US" w:eastAsia="zh-CN" w:bidi="ar"/>
        </w:rPr>
        <w:fldChar w:fldCharType="end"/>
      </w:r>
      <w:r>
        <w:rPr>
          <w:rFonts w:hint="default" w:ascii="Calibri" w:hAnsi="Calibri" w:cs="Times New Roman" w:eastAsiaTheme="minorEastAsia"/>
          <w:kern w:val="2"/>
          <w:sz w:val="21"/>
          <w:szCs w:val="21"/>
          <w:lang w:val="en-US" w:eastAsia="zh-CN" w:bidi="ar"/>
        </w:rPr>
        <w:fldChar w:fldCharType="begin"/>
      </w:r>
      <w:r>
        <w:rPr>
          <w:rFonts w:hint="default" w:ascii="Calibri" w:hAnsi="Calibri" w:cs="Times New Roman" w:eastAsiaTheme="minorEastAsia"/>
          <w:kern w:val="2"/>
          <w:sz w:val="21"/>
          <w:szCs w:val="21"/>
          <w:lang w:val="en-US" w:eastAsia="zh-CN" w:bidi="ar"/>
        </w:rPr>
        <w:instrText xml:space="preserve"> HYPERLINK "https://www.eol.cn/news/yaowen/202008/javascript:;" </w:instrText>
      </w:r>
      <w:r>
        <w:rPr>
          <w:rFonts w:hint="default" w:ascii="Calibri" w:hAnsi="Calibri" w:cs="Times New Roman" w:eastAsiaTheme="minorEastAsia"/>
          <w:kern w:val="2"/>
          <w:sz w:val="21"/>
          <w:szCs w:val="21"/>
          <w:lang w:val="en-US" w:eastAsia="zh-CN" w:bidi="ar"/>
        </w:rPr>
        <w:fldChar w:fldCharType="separate"/>
      </w:r>
      <w:r>
        <w:rPr>
          <w:rFonts w:hint="default" w:ascii="Calibri" w:hAnsi="Calibri" w:cs="Times New Roman" w:eastAsiaTheme="minorEastAsia"/>
          <w:kern w:val="2"/>
          <w:sz w:val="21"/>
          <w:szCs w:val="21"/>
          <w:lang w:val="en-US" w:eastAsia="zh-CN" w:bidi="ar"/>
        </w:rPr>
        <w:fldChar w:fldCharType="end"/>
      </w:r>
      <w:r>
        <w:rPr>
          <w:rFonts w:hint="default" w:ascii="Calibri" w:hAnsi="Calibri" w:cs="Times New Roman" w:eastAsiaTheme="minorEastAsia"/>
          <w:kern w:val="2"/>
          <w:sz w:val="21"/>
          <w:szCs w:val="21"/>
          <w:lang w:val="en-US" w:eastAsia="zh-CN" w:bidi="ar"/>
        </w:rPr>
        <w:fldChar w:fldCharType="begin"/>
      </w:r>
      <w:r>
        <w:rPr>
          <w:rFonts w:hint="default" w:ascii="Calibri" w:hAnsi="Calibri" w:cs="Times New Roman" w:eastAsiaTheme="minorEastAsia"/>
          <w:kern w:val="2"/>
          <w:sz w:val="21"/>
          <w:szCs w:val="21"/>
          <w:lang w:val="en-US" w:eastAsia="zh-CN" w:bidi="ar"/>
        </w:rPr>
        <w:instrText xml:space="preserve"> HYPERLINK "http://connect.qq.com/widget/shareqq/index.html?url=https://www.eol.cn/news/yaowen/202008/t20200828_2001204.shtml&amp;title=%E4%B8%AD%E5%9B%BD%E6%95%99%E8%82%B2%E5%9C%A8%E7%BA%BF-%E6%8E%A8%E5%8A%A8%E6%95%99%E8%82%B2%E5%89%8D%E8%BF%9B%E7%9A%84%E5%8A%9B%E9%87%8F&amp;source=%E6%95%99%E8%82%B2%E9%83%A8%E5%8A%9E%E5%85%AC%E5%8E%85 %E5%B7%A5%E4%B8%9A%E5%92%8C%E4%BF%A1%E6%81%AF%E5%8C%96%E9%83%A8%E5%8A%9E%E5%85%AC%E5%8E%85%E5%85%B3%E4%BA%8E%E5%8D%B0%E5%8F%91%E3%80%8A%E7%8E%B0%E4%BB%A3%E4%BA%A7%E4%B8%9A%E5%AD%A6%E9%99%A2%E5%BB%BA%E8%AE%BE%E6%8C%87%E5%8D%97(%E8%AF%95%E8%A1%8C)%E3%80%8B%E7%9A%84%E9%80%9A%E7%9F%A5 %E2%80%94%E4%B8%AD%E5%9B%BD%E6%95%99%E8%82%B2%E5%9C%A8%E7%BA%BF&amp;desc=%E6%95%99%E8%82%B2%E9%83%A8%E5%8A%9E%E5%85%AC%E5%8E%85 %E5%B7%A5%E4%B8%9A%E5%92%8C%E4%BF%A1%E6%81%AF%E5%8C%96%E9%83%A8%E5%8A%9E%E5%85%AC%E5%8E%85%E5%85%B3%E4%BA%8E%E5%8D%B0%E5%8F%91%E3%80%8A%E7%8E%B0%E4%BB%A3%E4%BA%A7%E4%B8%9A%E5%AD%A6%E9%99%A2%E5%BB%BA%E8%AE%BE%E6%8C%87%E5%8D%97(%E8%AF%95%E8%A1%8C)%E3%80%8B%E7%9A%84%E9%80%9A%E7%9F%A5&amp;pics=http://www.eol.cn/e_images/index/2018/fxlogo.jpg" </w:instrText>
      </w:r>
      <w:r>
        <w:rPr>
          <w:rFonts w:hint="default" w:ascii="Calibri" w:hAnsi="Calibri" w:cs="Times New Roman" w:eastAsiaTheme="minorEastAsia"/>
          <w:kern w:val="2"/>
          <w:sz w:val="21"/>
          <w:szCs w:val="21"/>
          <w:lang w:val="en-US" w:eastAsia="zh-CN" w:bidi="ar"/>
        </w:rPr>
        <w:fldChar w:fldCharType="separate"/>
      </w:r>
      <w:r>
        <w:rPr>
          <w:rFonts w:hint="default" w:ascii="Calibri" w:hAnsi="Calibri" w:cs="Times New Roman" w:eastAsiaTheme="minorEastAsia"/>
          <w:kern w:val="2"/>
          <w:sz w:val="21"/>
          <w:szCs w:val="21"/>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教高厅函〔2020〕16号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各省、自治区、直辖市教育厅(教委)、工业和信息化主管部门，新疆生产建设兵团教育局、工业和信息化局，有关部门(单位)教育司(局)，部属各高等学校、部省合建各高等学校：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为贯彻国家有关战略要求，落实《国务院办公厅关于深化产教融合的若干意见》(国办发〔2017〕95号)和《教育部 工业和信息化部 中国工程院关于加快建设发展新工科 实施卓越工程师教育培养计划2.0的意见》(教高〔2018〕3号)等文件精神，推进现代产业学院建设工作，教育部、工业和信息化部研究制定了《现代产业学院建设指南(试行)》，现印发给你们，请结合本地、本单位实际，认真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教育部办公厅 工业和信息化部办公厅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2020年7月30日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微软雅黑" w:hAnsi="微软雅黑" w:eastAsia="微软雅黑" w:cs="微软雅黑"/>
          <w:kern w:val="0"/>
          <w:sz w:val="24"/>
          <w:szCs w:val="24"/>
        </w:rPr>
      </w:pPr>
      <w:r>
        <w:rPr>
          <w:rFonts w:hint="default" w:ascii="微软雅黑" w:hAnsi="微软雅黑" w:eastAsia="微软雅黑" w:cs="微软雅黑"/>
          <w:b/>
          <w:i w:val="0"/>
          <w:caps w:val="0"/>
          <w:color w:val="666666"/>
          <w:spacing w:val="0"/>
          <w:kern w:val="0"/>
          <w:sz w:val="27"/>
          <w:szCs w:val="27"/>
          <w:lang w:val="en-US" w:eastAsia="zh-CN" w:bidi="ar"/>
        </w:rPr>
        <w:t>现代产业学院建设指南(试行)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培养适应和引领现代产业发展的高素质应用型、复合型、创新型人才，是高等教育支撑经济高质量发展的必然要求，是推动高校分类发展、特色发展的重要举措。为扎实推进新工科建设再深化、再拓展、再突破、再出发，协调推进新工科与新农科、新医科、新文科融合发展，全面提高人才培养能力，经研究，决定在特色鲜明、与产业紧密联系的高校建设若干与地方政府、行业企业等多主体共建共管共享的现代产业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以习近平新时代中国特色社会主义思想为指导，深入贯彻党的十九大和十九届二中、三中、四中全会精神，贯彻落实全国教育大会精神和《中国教育现代化2035》，以立德树人为根本任务，以学生发展为中心，突破传统路径依赖，充分发挥产业优势，发挥企业重要教育主体作用，深化产教融合，推动高校探索现代产业学院建设模式，建强优势特色专业，完善人才培养协同机制，造就大批产业需要的高素质应用型、复合型、创新型人才，为提高产业竞争力和汇聚发展新动能提供人才支持和智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二、建设目标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经过四年左右时间，以区域产业发展急需为牵引，面向行业特色鲜明、与产业联系紧密的高校，重点是应用型高校，建设一批现代产业学院。在此基础上，引导高校瞄准与地方经济社会发展的结合点，不断优化专业结构、增强办学活力，探索产业链、创新链、教育链有效衔接机制，建立新型信息、人才、技术与物质资源共享机制，完善产教融合协同育人机制，创新企业兼职教师评聘机制，构建高等教育与产业集群联动发展机制，打造一批融人才培养、科学研究、技术创新、企业服务、学生创业等功能于一体的示范性人才培养实体，为应用型高校建设提供可复制、可推广的新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三、建设原则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坚持育人为本。以立德树人为根本任务，以提高人才培养能力为核心，推动学校人才培养供给侧与产业需求侧紧密对接，培养符合产业高质量发展和创新需求的高素质人才。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坚持产业为要。依托优势学院专业，科学定位人才培养目标，构建紧密对接产业链、创新链的专业体系，切实增强人才对经济高质量发展的适应性。突出高校科技创新和人才集聚优势，强化“产学研用”体系化设计，增强服务产业发展的支撑作用，推动经济转型升级、培育经济发展新动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坚持产教融合。将人才培养、教师专业化发展、实训实习实践、学生创新创业、企业服务科技创新功能有机结合，促进产教融合、科教融合，打造集产、学、研、转、创、用于一体，互补、互利、互动、多赢的实体性人才培养创新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坚持创新发展。创新管理方式，充分发挥高校与地方政府、行业协会、企业机构等双方或多方办学主体作用，加强区域产业、教育、科技资源的统筹和部门之间的协调，推进共同建设、共同管理、共享资源，探索“校企联合”“校园联合”等多种合作办学模式，实现现代产业学院可持续、内涵式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四、建设任务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(一)创新人才培养模式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(二)提升专业建设质量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围绕国家和地方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(三)开发校企合作课程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(四)打造实习实训基地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教学、研发、创新创业功能的校企一体、产学研用协同的大型实验、实训实习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(五)建设高水平教师队伍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依托现代产业学院，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将现代产业学院建设成“双师双能型”教师培养培训基地。开展校企导师联合授课、联合指导，推进教师激励制度探索，打造高水平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(六)搭建产学研服务平台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(七)完善管理体制机制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强化高校、地方政府、行业协会、企业机构等多元主体协同，形成共建共管的组织架构，探索理事会、管委会等治理模式，赋予现代产业学院改革所需的人权、事权、财权，建设科学高效、保障有力的制度体系。充分考虑区域、行业、产业特点，结合高校自身禀赋特征，优化创新资源配置模式，增强“自我造血”能力，打造高校产教融合的示范区，实现教育链、创新链、产业链的深度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五、建设立项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教育部、工业和信息化部根据国家经济社会发展需求，加强顶层设计和统筹协调，规划现代产业学院建设布局，指导和组织开展现代产业学院立项建设和评估。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(一)申请条件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现代产业学院应已具备或近期可以达到以下基础条件：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1.人才培养主要专业与区域产业发展具有高度契合性，相关专业已经列入“国家级一流专业”建设范围，具有相对优势；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2.相关产业列入区域发展整体规划；参与的企业主体参考产教融合型企业相关要求，在区域产业链条中居主要地位，或在区域产业集群中居关键地位；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3.具有相对稳定的高水平教学团队；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4.相关企业主体参与的兼职教师人员，中、高级专业技术职务的人员数量不低于高校专职教师的数量；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5.加强产教融合，实践教学学时不低于专业人才培养方案总学时的30%；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6.具有相对丰富的教学资源；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7.初步形成理念先进、顺畅运行的管理体系；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8.学校能够提供相对集中、面积充足的物理空间，每年提供稳定的经费支持，用于人员聘任、日常运行；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9.学校给予发展所需政策扶持。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(二)立项程序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1.依托高校根据现代产业学院总体定位、建设思路，紧密结合实际，在充分论证基础上开展建设，搭建基础团队，明确体制机制。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2.具备条件的高校经上级主管部门同意后向教育部提出申请。同时，申请单位通过所在地省级工业和信息化主管部门向工业和信息化部报备。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3.教育部、工业和信息化部组织专家进行论证，重点考察人才培养模式、建设基础、政策支持和保障条件等，按照“分区论证、试点先行、分批启动”的原则进行培育建设。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rPr>
      </w:pPr>
      <w:r>
        <w:rPr>
          <w:rFonts w:hint="default" w:ascii="微软雅黑" w:hAnsi="微软雅黑" w:eastAsia="微软雅黑" w:cs="微软雅黑"/>
          <w:i w:val="0"/>
          <w:caps w:val="0"/>
          <w:color w:val="666666"/>
          <w:spacing w:val="0"/>
          <w:kern w:val="0"/>
          <w:sz w:val="27"/>
          <w:szCs w:val="27"/>
          <w:lang w:val="en-US" w:eastAsia="zh-CN" w:bidi="ar"/>
        </w:rPr>
        <w:t xml:space="preserve">  4.教育部、工业和信息化部将统筹各类资源，对现代产业学院建设予以政策支持和资源倾斜，加大对毕业生的就业指导和服务力度，推动稳定发展。</w:t>
      </w:r>
    </w:p>
    <w:p>
      <w:pPr>
        <w:keepNext w:val="0"/>
        <w:keepLines w:val="0"/>
        <w:widowControl w:val="0"/>
        <w:suppressLineNumbers w:val="0"/>
        <w:spacing w:before="0" w:beforeAutospacing="0" w:after="0" w:afterAutospacing="0"/>
        <w:ind w:left="0" w:right="0"/>
        <w:jc w:val="both"/>
        <w:rPr>
          <w:rFonts w:hint="default" w:ascii="Calibri" w:hAnsi="Calibri"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0" w:firstLineChars="200"/>
        <w:jc w:val="both"/>
        <w:textAlignment w:val="auto"/>
        <w:outlineLvl w:val="9"/>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3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01652"/>
    <w:rsid w:val="302F5233"/>
    <w:rsid w:val="5C7E9111"/>
    <w:rsid w:val="60651B33"/>
    <w:rsid w:val="676EFDEE"/>
    <w:rsid w:val="6D401652"/>
    <w:rsid w:val="6EBD0C5E"/>
    <w:rsid w:val="731A2ECE"/>
    <w:rsid w:val="7BFB4810"/>
    <w:rsid w:val="7FE7030D"/>
    <w:rsid w:val="B7DFB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keepNext w:val="0"/>
      <w:keepLines w:val="0"/>
      <w:widowControl w:val="0"/>
      <w:suppressLineNumbers w:val="0"/>
      <w:spacing w:before="0" w:beforeAutospacing="1" w:after="0" w:afterAutospacing="1"/>
      <w:ind w:left="0" w:right="0"/>
      <w:jc w:val="left"/>
    </w:pPr>
    <w:rPr>
      <w:rFonts w:hint="default" w:ascii="Calibri" w:hAnsi="Calibri"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2021-07-17T11:09:00Z</dcterms:created>
  <dc:creator>nah</dc:creator>
  <cp:lastModifiedBy>nah</cp:lastModifiedBy>
  <dcterms:modified xsi:type="dcterms:W3CDTF">2021-09-14T03:28:31Z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8820FD07C1A64E248729AD982971EFEB</vt:lpwstr>
  </property>
</Properties>
</file>