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600" w:lineRule="atLeast"/>
        <w:ind w:left="0" w:right="0" w:firstLine="0"/>
        <w:jc w:val="center"/>
        <w:rPr>
          <w:rFonts w:ascii="微软雅黑" w:hAnsi="微软雅黑" w:eastAsia="微软雅黑" w:cs="微软雅黑"/>
          <w:b w:val="0"/>
          <w:bCs/>
          <w:i w:val="0"/>
          <w:caps w:val="0"/>
          <w:color w:val="333333"/>
          <w:spacing w:val="0"/>
          <w:sz w:val="36"/>
          <w:szCs w:val="36"/>
        </w:rPr>
      </w:pPr>
      <w:bookmarkStart w:id="0" w:name="_GoBack"/>
      <w:r>
        <w:rPr>
          <w:rFonts w:hint="eastAsia" w:ascii="微软雅黑" w:hAnsi="微软雅黑" w:eastAsia="微软雅黑" w:cs="微软雅黑"/>
          <w:b w:val="0"/>
          <w:bCs/>
          <w:i w:val="0"/>
          <w:caps w:val="0"/>
          <w:color w:val="333333"/>
          <w:spacing w:val="0"/>
          <w:sz w:val="36"/>
          <w:szCs w:val="36"/>
          <w:bdr w:val="none" w:color="auto" w:sz="0" w:space="0"/>
          <w:shd w:val="clear" w:fill="FFFFFF"/>
        </w:rPr>
        <w:t>中山大学南方学院学生综合素质测评实施规定 （2018 年修订）</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2881" w:firstLineChars="1200"/>
        <w:jc w:val="left"/>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t>第一章  总  则</w:t>
      </w:r>
      <w:r>
        <w:rPr>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第一条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根据中共中央、国务院《关于深化教育改革全面推进素质教育的决定》、《关于进一步加强和改进大学生 思想政治工作的意见》、《普通高等学校学生管理规定》、《中山大学南方学院学生管理规定》等相关文件精神及规定， 结合我校实际，制定本规定。</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第二条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凡我校全日制本科入学两学年（含两学年）以上学生每学年均应参加综合素质测评。</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第三条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综合素质测评遵循客观、公正、民主、公开的原则。测评的标准、程序以及结果公开，并接受广大师生的监督。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2161" w:firstLineChars="900"/>
        <w:jc w:val="left"/>
        <w:rPr>
          <w:rStyle w:val="5"/>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2161" w:firstLineChars="900"/>
        <w:jc w:val="left"/>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t>第二章  综合素质测评的项目及评分标准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第四条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综合素质测评采取量化方式，对学生在校期间综合表现进行全面评价。包括基础性素质、发展性素质与学业能力三个方面。其中基础性素质与发展性素质测评共占15%，学业测评占 85%。计算公式如下：</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综合素质测评分=（基础性素质分+发展性素质分）×15%+学业成绩分×85%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第五条     基础性素质测评。</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基础素质主要包括思想道德素养、组织法纪素养、学习发展素养、科学文化素养与身心健康素养五个一级指标，依据《基础素质测评指标体系》（见附件），由所在班级的测评小组进行评分。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第六条    发展性素质测评。</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发展性素质测评是对学生的自身素质拓展方面进行的综合评价，包括荣誉称号、文体艺术等竞赛或活动、社会工作、知识与技能四个加分维度（加分上限为 40 分）和日常操行减分项。</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（一）荣誉称号加分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本学年获得如下荣誉称号的，可按以下标准加分：</w:t>
      </w:r>
    </w:p>
    <w:tbl>
      <w:tblPr>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283"/>
        <w:gridCol w:w="1018"/>
        <w:gridCol w:w="1133"/>
        <w:gridCol w:w="1006"/>
        <w:gridCol w:w="879"/>
        <w:gridCol w:w="100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74" w:hRule="atLeast"/>
          <w:tblCellSpacing w:w="0" w:type="dxa"/>
        </w:trPr>
        <w:tc>
          <w:tcPr>
            <w:tcW w:w="358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项      目</w:t>
            </w:r>
          </w:p>
        </w:tc>
        <w:tc>
          <w:tcPr>
            <w:tcW w:w="1140" w:type="dxa"/>
            <w:shd w:val="clear"/>
            <w:vAlign w:val="center"/>
          </w:tcPr>
          <w:p>
            <w:pPr>
              <w:keepNext w:val="0"/>
              <w:keepLines w:val="0"/>
              <w:widowControl/>
              <w:suppressLineNumbers w:val="0"/>
              <w:jc w:val="left"/>
            </w:pPr>
            <w:r>
              <w:rPr>
                <w:rStyle w:val="5"/>
                <w:rFonts w:ascii="宋体" w:hAnsi="宋体" w:eastAsia="宋体" w:cs="宋体"/>
                <w:kern w:val="0"/>
                <w:sz w:val="21"/>
                <w:szCs w:val="21"/>
                <w:bdr w:val="none" w:color="auto" w:sz="0" w:space="0"/>
                <w:lang w:val="en-US" w:eastAsia="zh-CN" w:bidi="ar"/>
              </w:rPr>
              <w:t>国家级及以上</w:t>
            </w:r>
          </w:p>
        </w:tc>
        <w:tc>
          <w:tcPr>
            <w:tcW w:w="12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省部级</w:t>
            </w:r>
          </w:p>
        </w:tc>
        <w:tc>
          <w:tcPr>
            <w:tcW w:w="112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市厅级</w:t>
            </w:r>
          </w:p>
        </w:tc>
        <w:tc>
          <w:tcPr>
            <w:tcW w:w="9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校级</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院系级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65" w:hRule="atLeast"/>
          <w:tblCellSpacing w:w="0" w:type="dxa"/>
        </w:trPr>
        <w:tc>
          <w:tcPr>
            <w:tcW w:w="358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优秀共产党员、优秀团干部、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优秀学生干部、优秀团员</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8</w:t>
            </w:r>
          </w:p>
        </w:tc>
        <w:tc>
          <w:tcPr>
            <w:tcW w:w="12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w:t>
            </w:r>
          </w:p>
        </w:tc>
        <w:tc>
          <w:tcPr>
            <w:tcW w:w="112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5</w:t>
            </w:r>
          </w:p>
        </w:tc>
        <w:tc>
          <w:tcPr>
            <w:tcW w:w="9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66" w:hRule="atLeast"/>
          <w:tblCellSpacing w:w="0" w:type="dxa"/>
        </w:trPr>
        <w:tc>
          <w:tcPr>
            <w:tcW w:w="358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社会实践、军训、志愿服务、慈善公益活动等各类活动中获得积极分子或先进个人</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7</w:t>
            </w:r>
          </w:p>
        </w:tc>
        <w:tc>
          <w:tcPr>
            <w:tcW w:w="12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w:t>
            </w:r>
          </w:p>
        </w:tc>
        <w:tc>
          <w:tcPr>
            <w:tcW w:w="112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5</w:t>
            </w:r>
          </w:p>
        </w:tc>
        <w:tc>
          <w:tcPr>
            <w:tcW w:w="9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396" w:hRule="atLeast"/>
          <w:tblCellSpacing w:w="0" w:type="dxa"/>
        </w:trPr>
        <w:tc>
          <w:tcPr>
            <w:tcW w:w="358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在见义勇为、拾金不昧、帮弱助残、抢险救灾、抢救伤残等方面有突出事迹，受到</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表彰</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7</w:t>
            </w:r>
          </w:p>
        </w:tc>
        <w:tc>
          <w:tcPr>
            <w:tcW w:w="12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w:t>
            </w:r>
          </w:p>
        </w:tc>
        <w:tc>
          <w:tcPr>
            <w:tcW w:w="112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5</w:t>
            </w:r>
          </w:p>
        </w:tc>
        <w:tc>
          <w:tcPr>
            <w:tcW w:w="9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81" w:hRule="atLeast"/>
          <w:tblCellSpacing w:w="0" w:type="dxa"/>
        </w:trPr>
        <w:tc>
          <w:tcPr>
            <w:tcW w:w="358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优秀集体（优良学风班、红</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旗团支部、优秀团总支、共青团工作创新奖、优秀学生会等）主要干部（班长与团支书）/普通干部（限 3 人）</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7/6</w:t>
            </w:r>
          </w:p>
        </w:tc>
        <w:tc>
          <w:tcPr>
            <w:tcW w:w="12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6/5</w:t>
            </w:r>
          </w:p>
        </w:tc>
        <w:tc>
          <w:tcPr>
            <w:tcW w:w="112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5/4</w:t>
            </w:r>
          </w:p>
        </w:tc>
        <w:tc>
          <w:tcPr>
            <w:tcW w:w="97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3/2</w:t>
            </w:r>
          </w:p>
        </w:tc>
        <w:tc>
          <w:tcPr>
            <w:tcW w:w="114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w:t>
            </w:r>
          </w:p>
        </w:tc>
      </w:tr>
    </w:tbl>
    <w:p>
      <w:pPr>
        <w:rPr>
          <w:vanish/>
          <w:sz w:val="24"/>
          <w:szCs w:val="24"/>
        </w:rPr>
      </w:pPr>
    </w:p>
    <w:tbl>
      <w:tblPr>
        <w:tblW w:w="8336"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286"/>
        <w:gridCol w:w="1018"/>
        <w:gridCol w:w="1129"/>
        <w:gridCol w:w="1004"/>
        <w:gridCol w:w="908"/>
        <w:gridCol w:w="99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479" w:hRule="atLeast"/>
          <w:tblCellSpacing w:w="0" w:type="dxa"/>
        </w:trPr>
        <w:tc>
          <w:tcPr>
            <w:tcW w:w="3286"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优秀班集体（优良学风班、红旗团支部、优秀团总支、共青团工作创新奖、优秀学生会等）普通学生（含未加</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分学生干部）</w:t>
            </w:r>
          </w:p>
        </w:tc>
        <w:tc>
          <w:tcPr>
            <w:tcW w:w="101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4</w:t>
            </w:r>
          </w:p>
        </w:tc>
        <w:tc>
          <w:tcPr>
            <w:tcW w:w="1129"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1004"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2</w:t>
            </w:r>
          </w:p>
        </w:tc>
        <w:tc>
          <w:tcPr>
            <w:tcW w:w="90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1</w:t>
            </w:r>
          </w:p>
        </w:tc>
        <w:tc>
          <w:tcPr>
            <w:tcW w:w="99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3286"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优秀社团负责人（1 名）/主要干部（限 3 名）</w:t>
            </w:r>
          </w:p>
        </w:tc>
        <w:tc>
          <w:tcPr>
            <w:tcW w:w="101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7/6</w:t>
            </w:r>
          </w:p>
        </w:tc>
        <w:tc>
          <w:tcPr>
            <w:tcW w:w="1129"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6/5</w:t>
            </w:r>
          </w:p>
        </w:tc>
        <w:tc>
          <w:tcPr>
            <w:tcW w:w="1004"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5/4</w:t>
            </w:r>
          </w:p>
        </w:tc>
        <w:tc>
          <w:tcPr>
            <w:tcW w:w="90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3/2</w:t>
            </w:r>
          </w:p>
        </w:tc>
        <w:tc>
          <w:tcPr>
            <w:tcW w:w="99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48" w:hRule="atLeast"/>
          <w:tblCellSpacing w:w="0" w:type="dxa"/>
        </w:trPr>
        <w:tc>
          <w:tcPr>
            <w:tcW w:w="3286"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优秀社团普通干部与社团成员</w:t>
            </w:r>
          </w:p>
        </w:tc>
        <w:tc>
          <w:tcPr>
            <w:tcW w:w="101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4</w:t>
            </w:r>
          </w:p>
        </w:tc>
        <w:tc>
          <w:tcPr>
            <w:tcW w:w="1129"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1004"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2</w:t>
            </w:r>
          </w:p>
        </w:tc>
        <w:tc>
          <w:tcPr>
            <w:tcW w:w="90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1</w:t>
            </w:r>
          </w:p>
        </w:tc>
        <w:tc>
          <w:tcPr>
            <w:tcW w:w="99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30" w:hRule="atLeast"/>
          <w:tblCellSpacing w:w="0" w:type="dxa"/>
        </w:trPr>
        <w:tc>
          <w:tcPr>
            <w:tcW w:w="3286"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文明宿舍舍长/舍员</w:t>
            </w:r>
          </w:p>
        </w:tc>
        <w:tc>
          <w:tcPr>
            <w:tcW w:w="101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w:t>
            </w:r>
          </w:p>
        </w:tc>
        <w:tc>
          <w:tcPr>
            <w:tcW w:w="1129"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w:t>
            </w:r>
          </w:p>
        </w:tc>
        <w:tc>
          <w:tcPr>
            <w:tcW w:w="1004"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w:t>
            </w:r>
          </w:p>
        </w:tc>
        <w:tc>
          <w:tcPr>
            <w:tcW w:w="908"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2/1</w:t>
            </w:r>
          </w:p>
        </w:tc>
        <w:tc>
          <w:tcPr>
            <w:tcW w:w="99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1/0.5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学生工作部、招生办公室、图书馆等单位公益岗的优秀学生助理以及学校记者团先进个人加 2 分；勤工助学先进个人加 1 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同一荣誉称号有不同级别的，按最高分计一次，不累加。</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（二）文体艺术等竞赛或活动获奖加分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本学年在各级文体艺术等竞赛或校园文化活动中获得名次及荣誉的，可按如下标准加分：</w:t>
      </w:r>
    </w:p>
    <w:tbl>
      <w:tblPr>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59"/>
        <w:gridCol w:w="895"/>
        <w:gridCol w:w="649"/>
        <w:gridCol w:w="649"/>
        <w:gridCol w:w="649"/>
        <w:gridCol w:w="649"/>
        <w:gridCol w:w="649"/>
        <w:gridCol w:w="649"/>
        <w:gridCol w:w="1141"/>
        <w:gridCol w:w="103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1359"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名次</w:t>
            </w:r>
          </w:p>
        </w:tc>
        <w:tc>
          <w:tcPr>
            <w:tcW w:w="89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特等奖</w:t>
            </w:r>
          </w:p>
        </w:tc>
        <w:tc>
          <w:tcPr>
            <w:tcW w:w="649"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一</w:t>
            </w:r>
          </w:p>
        </w:tc>
        <w:tc>
          <w:tcPr>
            <w:tcW w:w="649"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二</w:t>
            </w:r>
          </w:p>
        </w:tc>
        <w:tc>
          <w:tcPr>
            <w:tcW w:w="649"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三</w:t>
            </w:r>
          </w:p>
        </w:tc>
        <w:tc>
          <w:tcPr>
            <w:tcW w:w="649"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四</w:t>
            </w:r>
          </w:p>
        </w:tc>
        <w:tc>
          <w:tcPr>
            <w:tcW w:w="649"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五</w:t>
            </w:r>
          </w:p>
        </w:tc>
        <w:tc>
          <w:tcPr>
            <w:tcW w:w="649"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六</w:t>
            </w:r>
          </w:p>
        </w:tc>
        <w:tc>
          <w:tcPr>
            <w:tcW w:w="1141"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单项奖</w:t>
            </w:r>
          </w:p>
        </w:tc>
        <w:tc>
          <w:tcPr>
            <w:tcW w:w="1032"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单项奖</w:t>
            </w:r>
          </w:p>
        </w:tc>
      </w:tr>
    </w:tbl>
    <w:p>
      <w:pPr>
        <w:rPr>
          <w:vanish/>
          <w:sz w:val="24"/>
          <w:szCs w:val="24"/>
        </w:rPr>
      </w:pPr>
    </w:p>
    <w:tbl>
      <w:tblPr>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51"/>
        <w:gridCol w:w="944"/>
        <w:gridCol w:w="633"/>
        <w:gridCol w:w="596"/>
        <w:gridCol w:w="636"/>
        <w:gridCol w:w="657"/>
        <w:gridCol w:w="657"/>
        <w:gridCol w:w="646"/>
        <w:gridCol w:w="1155"/>
        <w:gridCol w:w="104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25" w:hRule="atLeast"/>
          <w:tblCellSpacing w:w="0" w:type="dxa"/>
        </w:trPr>
        <w:tc>
          <w:tcPr>
            <w:tcW w:w="135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级别</w:t>
            </w:r>
          </w:p>
        </w:tc>
        <w:tc>
          <w:tcPr>
            <w:tcW w:w="944" w:type="dxa"/>
            <w:shd w:val="clear"/>
            <w:vAlign w:val="center"/>
          </w:tcPr>
          <w:p>
            <w:pPr>
              <w:keepNext w:val="0"/>
              <w:keepLines w:val="0"/>
              <w:widowControl/>
              <w:suppressLineNumbers w:val="0"/>
              <w:jc w:val="center"/>
            </w:pPr>
          </w:p>
        </w:tc>
        <w:tc>
          <w:tcPr>
            <w:tcW w:w="633" w:type="dxa"/>
            <w:shd w:val="clear"/>
            <w:vAlign w:val="center"/>
          </w:tcPr>
          <w:p>
            <w:pPr>
              <w:keepNext w:val="0"/>
              <w:keepLines w:val="0"/>
              <w:widowControl/>
              <w:suppressLineNumbers w:val="0"/>
              <w:jc w:val="center"/>
            </w:pPr>
          </w:p>
        </w:tc>
        <w:tc>
          <w:tcPr>
            <w:tcW w:w="596" w:type="dxa"/>
            <w:shd w:val="clear"/>
            <w:vAlign w:val="center"/>
          </w:tcPr>
          <w:p>
            <w:pPr>
              <w:keepNext w:val="0"/>
              <w:keepLines w:val="0"/>
              <w:widowControl/>
              <w:suppressLineNumbers w:val="0"/>
              <w:jc w:val="center"/>
            </w:pPr>
          </w:p>
        </w:tc>
        <w:tc>
          <w:tcPr>
            <w:tcW w:w="636" w:type="dxa"/>
            <w:shd w:val="clear"/>
            <w:vAlign w:val="center"/>
          </w:tcPr>
          <w:p>
            <w:pPr>
              <w:keepNext w:val="0"/>
              <w:keepLines w:val="0"/>
              <w:widowControl/>
              <w:suppressLineNumbers w:val="0"/>
              <w:jc w:val="center"/>
            </w:pPr>
          </w:p>
        </w:tc>
        <w:tc>
          <w:tcPr>
            <w:tcW w:w="657" w:type="dxa"/>
            <w:shd w:val="clear"/>
            <w:vAlign w:val="center"/>
          </w:tcPr>
          <w:p>
            <w:pPr>
              <w:keepNext w:val="0"/>
              <w:keepLines w:val="0"/>
              <w:widowControl/>
              <w:suppressLineNumbers w:val="0"/>
              <w:jc w:val="center"/>
            </w:pPr>
          </w:p>
        </w:tc>
        <w:tc>
          <w:tcPr>
            <w:tcW w:w="657" w:type="dxa"/>
            <w:shd w:val="clear"/>
            <w:vAlign w:val="center"/>
          </w:tcPr>
          <w:p>
            <w:pPr>
              <w:keepNext w:val="0"/>
              <w:keepLines w:val="0"/>
              <w:widowControl/>
              <w:suppressLineNumbers w:val="0"/>
              <w:jc w:val="center"/>
            </w:pPr>
          </w:p>
        </w:tc>
        <w:tc>
          <w:tcPr>
            <w:tcW w:w="646" w:type="dxa"/>
            <w:shd w:val="clear"/>
            <w:vAlign w:val="center"/>
          </w:tcPr>
          <w:p>
            <w:pPr>
              <w:keepNext w:val="0"/>
              <w:keepLines w:val="0"/>
              <w:widowControl/>
              <w:suppressLineNumbers w:val="0"/>
              <w:jc w:val="center"/>
            </w:pPr>
          </w:p>
        </w:tc>
        <w:tc>
          <w:tcPr>
            <w:tcW w:w="115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（个人）</w:t>
            </w:r>
          </w:p>
        </w:tc>
        <w:tc>
          <w:tcPr>
            <w:tcW w:w="10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（集体）</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25" w:hRule="atLeast"/>
          <w:tblCellSpacing w:w="0" w:type="dxa"/>
        </w:trPr>
        <w:tc>
          <w:tcPr>
            <w:tcW w:w="135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国家级及以上</w:t>
            </w:r>
          </w:p>
        </w:tc>
        <w:tc>
          <w:tcPr>
            <w:tcW w:w="944"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8</w:t>
            </w:r>
          </w:p>
        </w:tc>
        <w:tc>
          <w:tcPr>
            <w:tcW w:w="633"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7</w:t>
            </w:r>
          </w:p>
        </w:tc>
        <w:tc>
          <w:tcPr>
            <w:tcW w:w="59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w:t>
            </w:r>
          </w:p>
        </w:tc>
        <w:tc>
          <w:tcPr>
            <w:tcW w:w="63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5</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4</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6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115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4</w:t>
            </w:r>
          </w:p>
        </w:tc>
        <w:tc>
          <w:tcPr>
            <w:tcW w:w="10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555" w:hRule="atLeast"/>
          <w:tblCellSpacing w:w="0" w:type="dxa"/>
        </w:trPr>
        <w:tc>
          <w:tcPr>
            <w:tcW w:w="135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省部级</w:t>
            </w:r>
          </w:p>
        </w:tc>
        <w:tc>
          <w:tcPr>
            <w:tcW w:w="944"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7</w:t>
            </w:r>
          </w:p>
        </w:tc>
        <w:tc>
          <w:tcPr>
            <w:tcW w:w="633"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6</w:t>
            </w:r>
          </w:p>
        </w:tc>
        <w:tc>
          <w:tcPr>
            <w:tcW w:w="59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5</w:t>
            </w:r>
          </w:p>
        </w:tc>
        <w:tc>
          <w:tcPr>
            <w:tcW w:w="63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6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15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0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135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市厅级</w:t>
            </w:r>
          </w:p>
        </w:tc>
        <w:tc>
          <w:tcPr>
            <w:tcW w:w="944"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6</w:t>
            </w:r>
          </w:p>
        </w:tc>
        <w:tc>
          <w:tcPr>
            <w:tcW w:w="633"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5</w:t>
            </w:r>
          </w:p>
        </w:tc>
        <w:tc>
          <w:tcPr>
            <w:tcW w:w="59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63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6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115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0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135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校级</w:t>
            </w:r>
          </w:p>
        </w:tc>
        <w:tc>
          <w:tcPr>
            <w:tcW w:w="944"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633"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59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1.5</w:t>
            </w:r>
          </w:p>
        </w:tc>
        <w:tc>
          <w:tcPr>
            <w:tcW w:w="63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0.5</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0.5</w:t>
            </w:r>
          </w:p>
        </w:tc>
        <w:tc>
          <w:tcPr>
            <w:tcW w:w="6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w:t>
            </w:r>
          </w:p>
        </w:tc>
        <w:tc>
          <w:tcPr>
            <w:tcW w:w="115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0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1351"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院系级</w:t>
            </w:r>
          </w:p>
        </w:tc>
        <w:tc>
          <w:tcPr>
            <w:tcW w:w="944" w:type="dxa"/>
            <w:shd w:val="clear"/>
            <w:vAlign w:val="center"/>
          </w:tcPr>
          <w:p>
            <w:pPr>
              <w:keepNext w:val="0"/>
              <w:keepLines w:val="0"/>
              <w:widowControl/>
              <w:suppressLineNumbers w:val="0"/>
              <w:jc w:val="center"/>
            </w:pPr>
          </w:p>
        </w:tc>
        <w:tc>
          <w:tcPr>
            <w:tcW w:w="633"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59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1.5</w:t>
            </w:r>
          </w:p>
        </w:tc>
        <w:tc>
          <w:tcPr>
            <w:tcW w:w="63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w:t>
            </w:r>
          </w:p>
        </w:tc>
        <w:tc>
          <w:tcPr>
            <w:tcW w:w="65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w:t>
            </w:r>
          </w:p>
        </w:tc>
        <w:tc>
          <w:tcPr>
            <w:tcW w:w="6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w:t>
            </w:r>
          </w:p>
        </w:tc>
        <w:tc>
          <w:tcPr>
            <w:tcW w:w="115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104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0.5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参加同一项目获得不同级别奖励的，按最高分计一次， 不累加。</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没有设置等级及具体奖项的，如入围奖、优秀奖或者六等奖、第六名以后的奖项，均按照六等奖标准进行加分。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4. 所有集体奖项获得者（即两人及以上获得同一个奖项）， 按相应等级分值的一半计分。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（三）社会工作加分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社会工作加分依据是本学年承担工作的内容和综合考评的结果，具体如下：</w:t>
      </w:r>
    </w:p>
    <w:tbl>
      <w:tblPr>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445"/>
        <w:gridCol w:w="1410"/>
        <w:gridCol w:w="1275"/>
        <w:gridCol w:w="1530"/>
        <w:gridCol w:w="141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244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类别</w:t>
            </w:r>
          </w:p>
        </w:tc>
        <w:tc>
          <w:tcPr>
            <w:tcW w:w="1410"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优秀</w:t>
            </w:r>
          </w:p>
        </w:tc>
        <w:tc>
          <w:tcPr>
            <w:tcW w:w="12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称职</w:t>
            </w:r>
          </w:p>
        </w:tc>
        <w:tc>
          <w:tcPr>
            <w:tcW w:w="1530"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基本称职</w:t>
            </w:r>
          </w:p>
        </w:tc>
        <w:tc>
          <w:tcPr>
            <w:tcW w:w="1410"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不称职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244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主要学生干部</w:t>
            </w:r>
          </w:p>
        </w:tc>
        <w:tc>
          <w:tcPr>
            <w:tcW w:w="141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12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53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2.5</w:t>
            </w:r>
          </w:p>
        </w:tc>
        <w:tc>
          <w:tcPr>
            <w:tcW w:w="141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244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学生骨干</w:t>
            </w:r>
          </w:p>
        </w:tc>
        <w:tc>
          <w:tcPr>
            <w:tcW w:w="141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2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53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1.5</w:t>
            </w:r>
          </w:p>
        </w:tc>
        <w:tc>
          <w:tcPr>
            <w:tcW w:w="141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244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其他学生干部</w:t>
            </w:r>
          </w:p>
        </w:tc>
        <w:tc>
          <w:tcPr>
            <w:tcW w:w="141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2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1.5</w:t>
            </w:r>
          </w:p>
        </w:tc>
        <w:tc>
          <w:tcPr>
            <w:tcW w:w="153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141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0</w:t>
            </w:r>
          </w:p>
        </w:tc>
      </w:tr>
    </w:tbl>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主要学生干部包括学校学生会副主席以上级别，青年新媒体信息研究中心主任，各院系学生会主席、团总支学生副书记。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学生骨干包括班长、团支书、校级学生组织副部长/副理事长级以上、各院系部长级以上。（已列为主要学生干部的不在此序列）。</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4. 其他学生干部包括班委、校级学生组织的干事及社联之星。每个学生组织可评一名优秀干事；社联之星每学年评选一次，每次 12 名。（已列为主要学生骨干及学生骨干的不在此序列）</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5. 学校、院系各学生组织要每学年结束前进行一次考评， 备案考评结果（原则上比例为：优秀≤30%，称职≤50%，基本称职≤20%）。</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6. 各院系要对团总支、学生会、班委与团支部等所负责的学生干部，每学年进行一次考评，备案考评结果。（原则上比例为：优秀≤30%，称职≤50%，基本称职≤20%）。</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7. 一人多岗多职位的，按最高分计一次，不累加。</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（四）知识与技能加分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本学年在知识和技能方面表现突出者，可按以下标准加分（同一项目同一学年获得两级或两级以上证书者，按最高分计一次，不累加）：</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获得普通话证书一级甲等、一级乙等、二级甲等者， 分别加 2 分、1 分、0.5 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获得专业职业资格证书高级、中级、初级者，分别加6 分、4 分、2 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外语等级考试通过者，本学年按如下标准加分（英语专业学生通过大学英语四、六级不加分）：</w:t>
      </w:r>
    </w:p>
    <w:tbl>
      <w:tblPr>
        <w:tblW w:w="837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52"/>
        <w:gridCol w:w="1492"/>
        <w:gridCol w:w="1775"/>
        <w:gridCol w:w="177"/>
        <w:gridCol w:w="1477"/>
        <w:gridCol w:w="180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96" w:hRule="atLeast"/>
          <w:tblCellSpacing w:w="0" w:type="dxa"/>
        </w:trPr>
        <w:tc>
          <w:tcPr>
            <w:tcW w:w="1652" w:type="dxa"/>
            <w:vMerge w:val="restart"/>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类别</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加分</w:t>
            </w:r>
          </w:p>
        </w:tc>
        <w:tc>
          <w:tcPr>
            <w:tcW w:w="6727" w:type="dxa"/>
            <w:gridSpan w:val="5"/>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外语本科专业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2" w:hRule="atLeast"/>
          <w:tblCellSpacing w:w="0" w:type="dxa"/>
        </w:trPr>
        <w:tc>
          <w:tcPr>
            <w:tcW w:w="1652" w:type="dxa"/>
            <w:vMerge w:val="continue"/>
            <w:shd w:val="clear"/>
            <w:vAlign w:val="center"/>
          </w:tcPr>
          <w:p>
            <w:pPr>
              <w:jc w:val="center"/>
              <w:rPr>
                <w:rFonts w:hint="eastAsia" w:ascii="宋体"/>
                <w:sz w:val="24"/>
                <w:szCs w:val="24"/>
              </w:rPr>
            </w:pPr>
          </w:p>
        </w:tc>
        <w:tc>
          <w:tcPr>
            <w:tcW w:w="1492"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专业四级</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（及格）</w:t>
            </w:r>
          </w:p>
        </w:tc>
        <w:tc>
          <w:tcPr>
            <w:tcW w:w="1952"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专业四级</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（80 分以上）</w:t>
            </w:r>
          </w:p>
        </w:tc>
        <w:tc>
          <w:tcPr>
            <w:tcW w:w="147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专业八级</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（及格）</w:t>
            </w:r>
          </w:p>
        </w:tc>
        <w:tc>
          <w:tcPr>
            <w:tcW w:w="180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专业八级</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（80 分以上）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14" w:hRule="atLeast"/>
          <w:tblCellSpacing w:w="0" w:type="dxa"/>
        </w:trPr>
        <w:tc>
          <w:tcPr>
            <w:tcW w:w="1652"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加分值</w:t>
            </w:r>
          </w:p>
        </w:tc>
        <w:tc>
          <w:tcPr>
            <w:tcW w:w="1492"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952"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477"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806"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8" w:hRule="atLeast"/>
          <w:tblCellSpacing w:w="0" w:type="dxa"/>
        </w:trPr>
        <w:tc>
          <w:tcPr>
            <w:tcW w:w="1652" w:type="dxa"/>
            <w:vMerge w:val="restart"/>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类别</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加分</w:t>
            </w:r>
          </w:p>
        </w:tc>
        <w:tc>
          <w:tcPr>
            <w:tcW w:w="6727" w:type="dxa"/>
            <w:gridSpan w:val="5"/>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非英语本科专业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73" w:hRule="atLeast"/>
          <w:tblCellSpacing w:w="0" w:type="dxa"/>
        </w:trPr>
        <w:tc>
          <w:tcPr>
            <w:tcW w:w="1652" w:type="dxa"/>
            <w:vMerge w:val="continue"/>
            <w:shd w:val="clear"/>
            <w:vAlign w:val="center"/>
          </w:tcPr>
          <w:p>
            <w:pPr>
              <w:jc w:val="center"/>
              <w:rPr>
                <w:rFonts w:hint="eastAsia" w:ascii="宋体"/>
                <w:sz w:val="24"/>
                <w:szCs w:val="24"/>
              </w:rPr>
            </w:pPr>
          </w:p>
        </w:tc>
        <w:tc>
          <w:tcPr>
            <w:tcW w:w="3267"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四级</w:t>
            </w:r>
          </w:p>
        </w:tc>
        <w:tc>
          <w:tcPr>
            <w:tcW w:w="3460" w:type="dxa"/>
            <w:gridSpan w:val="3"/>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六级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2" w:hRule="atLeast"/>
          <w:tblCellSpacing w:w="0" w:type="dxa"/>
        </w:trPr>
        <w:tc>
          <w:tcPr>
            <w:tcW w:w="1652"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加分值</w:t>
            </w:r>
          </w:p>
        </w:tc>
        <w:tc>
          <w:tcPr>
            <w:tcW w:w="3267"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1.5</w:t>
            </w:r>
          </w:p>
        </w:tc>
        <w:tc>
          <w:tcPr>
            <w:tcW w:w="3460" w:type="dxa"/>
            <w:gridSpan w:val="3"/>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2.5</w:t>
            </w:r>
          </w:p>
        </w:tc>
      </w:tr>
    </w:tbl>
    <w:p>
      <w:pPr>
        <w:keepNext w:val="0"/>
        <w:keepLines w:val="0"/>
        <w:widowControl/>
        <w:suppressLineNumbers w:val="0"/>
        <w:spacing w:before="0" w:beforeAutospacing="0" w:after="240" w:afterAutospacing="0"/>
        <w:ind w:left="0" w:right="0"/>
        <w:jc w:val="left"/>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4. 计算机等级考试通过者，本学年按如下标准加分：</w:t>
      </w: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73"/>
        <w:gridCol w:w="1045"/>
        <w:gridCol w:w="884"/>
        <w:gridCol w:w="869"/>
        <w:gridCol w:w="928"/>
        <w:gridCol w:w="899"/>
        <w:gridCol w:w="899"/>
        <w:gridCol w:w="855"/>
        <w:gridCol w:w="88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jc w:val="center"/>
        </w:trPr>
        <w:tc>
          <w:tcPr>
            <w:tcW w:w="109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科别</w:t>
            </w:r>
          </w:p>
        </w:tc>
        <w:tc>
          <w:tcPr>
            <w:tcW w:w="7395" w:type="dxa"/>
            <w:gridSpan w:val="8"/>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计算机专业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jc w:val="center"/>
        </w:trPr>
        <w:tc>
          <w:tcPr>
            <w:tcW w:w="1095" w:type="dxa"/>
            <w:vMerge w:val="restart"/>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等级</w:t>
            </w:r>
          </w:p>
        </w:tc>
        <w:tc>
          <w:tcPr>
            <w:tcW w:w="1965"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一级</w:t>
            </w:r>
          </w:p>
        </w:tc>
        <w:tc>
          <w:tcPr>
            <w:tcW w:w="1830"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二级</w:t>
            </w:r>
          </w:p>
        </w:tc>
        <w:tc>
          <w:tcPr>
            <w:tcW w:w="1830"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三级</w:t>
            </w:r>
          </w:p>
        </w:tc>
        <w:tc>
          <w:tcPr>
            <w:tcW w:w="1770"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四级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15" w:hRule="atLeast"/>
          <w:tblCellSpacing w:w="0" w:type="dxa"/>
          <w:jc w:val="center"/>
        </w:trPr>
        <w:tc>
          <w:tcPr>
            <w:tcW w:w="1095" w:type="dxa"/>
            <w:vMerge w:val="continue"/>
            <w:shd w:val="clear"/>
            <w:vAlign w:val="center"/>
          </w:tcPr>
          <w:p>
            <w:pPr>
              <w:jc w:val="center"/>
              <w:rPr>
                <w:rFonts w:hint="eastAsia" w:ascii="宋体"/>
                <w:sz w:val="24"/>
                <w:szCs w:val="24"/>
              </w:rPr>
            </w:pPr>
          </w:p>
        </w:tc>
        <w:tc>
          <w:tcPr>
            <w:tcW w:w="106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c>
          <w:tcPr>
            <w:tcW w:w="88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4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c>
          <w:tcPr>
            <w:tcW w:w="87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705" w:hRule="atLeast"/>
          <w:tblCellSpacing w:w="0" w:type="dxa"/>
          <w:jc w:val="center"/>
        </w:trPr>
        <w:tc>
          <w:tcPr>
            <w:tcW w:w="109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加分值</w:t>
            </w:r>
          </w:p>
        </w:tc>
        <w:tc>
          <w:tcPr>
            <w:tcW w:w="106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0</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88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94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87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jc w:val="center"/>
        </w:trPr>
        <w:tc>
          <w:tcPr>
            <w:tcW w:w="109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科别</w:t>
            </w:r>
          </w:p>
        </w:tc>
        <w:tc>
          <w:tcPr>
            <w:tcW w:w="7395" w:type="dxa"/>
            <w:gridSpan w:val="8"/>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非计算机专业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jc w:val="center"/>
        </w:trPr>
        <w:tc>
          <w:tcPr>
            <w:tcW w:w="1095" w:type="dxa"/>
            <w:vMerge w:val="restart"/>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等级</w:t>
            </w:r>
          </w:p>
        </w:tc>
        <w:tc>
          <w:tcPr>
            <w:tcW w:w="1965"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一级</w:t>
            </w:r>
          </w:p>
        </w:tc>
        <w:tc>
          <w:tcPr>
            <w:tcW w:w="1830"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二级</w:t>
            </w:r>
          </w:p>
        </w:tc>
        <w:tc>
          <w:tcPr>
            <w:tcW w:w="1830"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三级</w:t>
            </w:r>
          </w:p>
        </w:tc>
        <w:tc>
          <w:tcPr>
            <w:tcW w:w="1770" w:type="dxa"/>
            <w:gridSpan w:val="2"/>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四级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jc w:val="center"/>
        </w:trPr>
        <w:tc>
          <w:tcPr>
            <w:tcW w:w="1095" w:type="dxa"/>
            <w:vMerge w:val="continue"/>
            <w:shd w:val="clear"/>
            <w:vAlign w:val="center"/>
          </w:tcPr>
          <w:p>
            <w:pPr>
              <w:jc w:val="center"/>
              <w:rPr>
                <w:rFonts w:hint="eastAsia" w:ascii="宋体"/>
                <w:sz w:val="24"/>
                <w:szCs w:val="24"/>
              </w:rPr>
            </w:pPr>
          </w:p>
        </w:tc>
        <w:tc>
          <w:tcPr>
            <w:tcW w:w="106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c>
          <w:tcPr>
            <w:tcW w:w="88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4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c>
          <w:tcPr>
            <w:tcW w:w="87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合格</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优秀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45" w:hRule="atLeast"/>
          <w:tblCellSpacing w:w="0" w:type="dxa"/>
          <w:jc w:val="center"/>
        </w:trPr>
        <w:tc>
          <w:tcPr>
            <w:tcW w:w="109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加分值</w:t>
            </w:r>
          </w:p>
        </w:tc>
        <w:tc>
          <w:tcPr>
            <w:tcW w:w="106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88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94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91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87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900"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5</w:t>
            </w:r>
          </w:p>
        </w:tc>
      </w:tr>
    </w:tbl>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5. 科技竞赛、学术研究或科技创新成果获奖。</w:t>
      </w:r>
    </w:p>
    <w:p>
      <w:pPr>
        <w:keepNext w:val="0"/>
        <w:keepLines w:val="0"/>
        <w:widowControl/>
        <w:suppressLineNumbers w:val="0"/>
        <w:spacing w:before="0" w:beforeAutospacing="0" w:after="0" w:afterAutospacing="0"/>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本学年在各级科技竞赛、学术研究或科技创新成 果展示中获奖者，按如下标准加分：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56" w:hRule="atLeast"/>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0" w:type="auto"/>
                  <w:shd w:val="clear"/>
                  <w:vAlign w:val="center"/>
                </w:tcPr>
                <w:tbl>
                  <w:tblPr>
                    <w:tblW w:w="0" w:type="auto"/>
                    <w:tblCellSpacing w:w="0" w:type="dxa"/>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920"/>
                    <w:gridCol w:w="1575"/>
                    <w:gridCol w:w="1575"/>
                    <w:gridCol w:w="1575"/>
                    <w:gridCol w:w="157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1920" w:type="dxa"/>
                        <w:shd w:val="clear"/>
                        <w:vAlign w:val="center"/>
                      </w:tcPr>
                      <w:p>
                        <w:pPr>
                          <w:keepNext w:val="0"/>
                          <w:keepLines w:val="0"/>
                          <w:widowControl/>
                          <w:suppressLineNumbers w:val="0"/>
                          <w:jc w:val="left"/>
                        </w:pPr>
                        <w:r>
                          <w:rPr>
                            <w:rStyle w:val="5"/>
                            <w:rFonts w:ascii="宋体" w:hAnsi="宋体" w:eastAsia="宋体" w:cs="宋体"/>
                            <w:kern w:val="0"/>
                            <w:sz w:val="21"/>
                            <w:szCs w:val="21"/>
                            <w:bdr w:val="none" w:color="auto" w:sz="0" w:space="0"/>
                            <w:lang w:val="en-US" w:eastAsia="zh-CN" w:bidi="ar"/>
                          </w:rPr>
                          <w:t>等级</w:t>
                        </w:r>
                      </w:p>
                    </w:tc>
                    <w:tc>
                      <w:tcPr>
                        <w:tcW w:w="15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一等奖</w:t>
                        </w:r>
                      </w:p>
                    </w:tc>
                    <w:tc>
                      <w:tcPr>
                        <w:tcW w:w="15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二等奖</w:t>
                        </w:r>
                      </w:p>
                    </w:tc>
                    <w:tc>
                      <w:tcPr>
                        <w:tcW w:w="15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三等奖</w:t>
                        </w:r>
                      </w:p>
                    </w:tc>
                    <w:tc>
                      <w:tcPr>
                        <w:tcW w:w="15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其他奖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192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国家级及以上</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10</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8</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6</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192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省部级</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8</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6</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192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市厅级</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6</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192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校级</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1920"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系级</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3</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w:t>
                        </w:r>
                      </w:p>
                    </w:tc>
                    <w:tc>
                      <w:tcPr>
                        <w:tcW w:w="15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w:t>
                        </w:r>
                      </w:p>
                    </w:tc>
                  </w:tr>
                </w:tbl>
                <w:p/>
              </w:tc>
            </w:tr>
          </w:tbl>
          <w:p/>
        </w:tc>
      </w:tr>
    </w:tbl>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参加同一项竞赛或科研活动获多项奖的，按最高 分计一次，不累加。</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评奖不分等级时按三等奖加分；若以名次计，第 1 名按一等奖加分，第 2、3 名按二等奖加分，第 4 名及以后按三等奖加分；若取前三名者，分别按一、二、三等奖加分。 若以金、银、铜奖计，按一、二、三等奖加分；若有特等奖， 可在一等奖分值基础上加 1 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（4）  多人共同完成一项成果的，署名第一者按相应级 别加分，署名第二者比第一者减 1 分加分，其余者比第一者减 2 分加分。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（5）  拥有科研成果或研制出科研产品，经两名以上专 家、教授推荐并通过学校主管部门审定的，可适当加分，加分不超过 12 分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6. 发表专业学术论文或文章。</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本学年在国家正式刊物上发表专业学术论文者， 按如下标准加分：</w:t>
      </w:r>
    </w:p>
    <w:p>
      <w:pPr>
        <w:keepNext w:val="0"/>
        <w:keepLines w:val="0"/>
        <w:widowControl/>
        <w:suppressLineNumbers w:val="0"/>
        <w:spacing w:before="0" w:beforeAutospacing="0" w:after="0" w:afterAutospacing="0"/>
        <w:ind w:left="0" w:right="0"/>
        <w:jc w:val="left"/>
      </w:pPr>
    </w:p>
    <w:tbl>
      <w:tblPr>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756"/>
        <w:gridCol w:w="1855"/>
        <w:gridCol w:w="1855"/>
        <w:gridCol w:w="185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55" w:hRule="atLeast"/>
          <w:tblCellSpacing w:w="0" w:type="dxa"/>
        </w:trPr>
        <w:tc>
          <w:tcPr>
            <w:tcW w:w="2835" w:type="dxa"/>
            <w:shd w:val="clear"/>
            <w:vAlign w:val="center"/>
          </w:tcPr>
          <w:p>
            <w:pPr>
              <w:keepNext w:val="0"/>
              <w:keepLines w:val="0"/>
              <w:widowControl/>
              <w:suppressLineNumbers w:val="0"/>
              <w:jc w:val="left"/>
            </w:pPr>
            <w:r>
              <w:rPr>
                <w:rStyle w:val="5"/>
                <w:rFonts w:ascii="宋体" w:hAnsi="宋体" w:eastAsia="宋体" w:cs="宋体"/>
                <w:kern w:val="0"/>
                <w:sz w:val="21"/>
                <w:szCs w:val="21"/>
                <w:bdr w:val="none" w:color="auto" w:sz="0" w:space="0"/>
                <w:lang w:val="en-US" w:eastAsia="zh-CN" w:bidi="ar"/>
              </w:rPr>
              <w:t>等级</w:t>
            </w:r>
          </w:p>
        </w:tc>
        <w:tc>
          <w:tcPr>
            <w:tcW w:w="18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第 1-2 作者</w:t>
            </w:r>
          </w:p>
        </w:tc>
        <w:tc>
          <w:tcPr>
            <w:tcW w:w="18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第 3-4 作者</w:t>
            </w:r>
          </w:p>
        </w:tc>
        <w:tc>
          <w:tcPr>
            <w:tcW w:w="1875" w:type="dxa"/>
            <w:shd w:val="clear"/>
            <w:vAlign w:val="center"/>
          </w:tcPr>
          <w:p>
            <w:pPr>
              <w:keepNext w:val="0"/>
              <w:keepLines w:val="0"/>
              <w:widowControl/>
              <w:suppressLineNumbers w:val="0"/>
              <w:jc w:val="center"/>
            </w:pPr>
            <w:r>
              <w:rPr>
                <w:rStyle w:val="5"/>
                <w:rFonts w:ascii="宋体" w:hAnsi="宋体" w:eastAsia="宋体" w:cs="宋体"/>
                <w:kern w:val="0"/>
                <w:sz w:val="21"/>
                <w:szCs w:val="21"/>
                <w:bdr w:val="none" w:color="auto" w:sz="0" w:space="0"/>
                <w:lang w:val="en-US" w:eastAsia="zh-CN" w:bidi="ar"/>
              </w:rPr>
              <w:t>第 5-8 作者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283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国内顶级学术期刊</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10</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8</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283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国内特级学术期刊</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8</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6</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43" w:hRule="atLeast"/>
          <w:tblCellSpacing w:w="0" w:type="dxa"/>
        </w:trPr>
        <w:tc>
          <w:tcPr>
            <w:tcW w:w="283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国内学术期刊名录</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一级 A 类</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4</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33" w:hRule="atLeast"/>
          <w:tblCellSpacing w:w="0" w:type="dxa"/>
        </w:trPr>
        <w:tc>
          <w:tcPr>
            <w:tcW w:w="283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国内学术期刊名录</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一级 B 类</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5</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3</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2835" w:type="dxa"/>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国内二级学术期刊</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4</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2</w:t>
            </w:r>
          </w:p>
        </w:tc>
        <w:tc>
          <w:tcPr>
            <w:tcW w:w="1875" w:type="dxa"/>
            <w:shd w:val="clear"/>
            <w:vAlign w:val="center"/>
          </w:tcPr>
          <w:p>
            <w:pPr>
              <w:keepNext w:val="0"/>
              <w:keepLines w:val="0"/>
              <w:widowControl/>
              <w:suppressLineNumbers w:val="0"/>
              <w:jc w:val="center"/>
            </w:pPr>
            <w:r>
              <w:rPr>
                <w:rFonts w:ascii="宋体" w:hAnsi="宋体" w:eastAsia="宋体" w:cs="宋体"/>
                <w:kern w:val="0"/>
                <w:sz w:val="21"/>
                <w:szCs w:val="21"/>
                <w:bdr w:val="none" w:color="auto" w:sz="0" w:space="0"/>
                <w:lang w:val="en-US" w:eastAsia="zh-CN" w:bidi="ar"/>
              </w:rPr>
              <w:t>-</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发表期刊等级以《浙江理工大学国内学术期刊分 级名录》为标准。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在国家级、省级、市级（含中大级）正式出版物 上发表文章但并未评奖，第一作者可分别加 6 分、4 分、3 分；一篇文章署名多位作者，第一作者按相应级别加分，其余作者加分以署名的前后排序依次递减 1 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（4）  在《中山大学南方学院院报》《南方论丛》（之后新增校级刊物以学校认定为准）这两种校级报刊上发表作品（注：非新闻类作品）的，每篇文章第一作者加 0.5 分， 第二作者及后面作者不加分。在院系级刊物上发表文章的， 每篇文章第一作者加 0.3 分，第二作者及后面作者不加分。累计不超过 2 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（5）  在校外公开发行刊物上发表作品，每篇幅加 0.5 分，累计不超过 2 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（6）  发表了专业学术论文或文章，同时又获得竞赛性 名次评定的，按最高分计一次，不累加。</w:t>
      </w:r>
    </w:p>
    <w:p>
      <w:pPr>
        <w:keepNext w:val="0"/>
        <w:keepLines w:val="0"/>
        <w:widowControl/>
        <w:suppressLineNumbers w:val="0"/>
        <w:spacing w:before="0" w:beforeAutospacing="0" w:after="0" w:afterAutospacing="0"/>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（五）日常操行减分项</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本学年凡有下列情形之一者，在综合测评中给予扣分：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60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违反校规校纪，受到留校察看处分的，扣 10 分；受到记过处分的，扣 8 分；受到严重警告/次，扣 6 分/次；受到警告等处分，扣 4 分/次；受到通报批评的扣 3 分/次。</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在院系级文明宿舍评比中，宿舍卫生被评为不合格者， 宿舍成员扣 1 分/次·人,舍长扣 2 分；在学校文明宿舍评比中，宿舍卫生被评为不合格者，宿舍成员扣 2 分/次·人，舍长扣3 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违反学校宿舍管理及其它规章制度（例如晚归、酗酒等），尚不够纪律处分的，视情节轻重，扣 1-2 分/次。</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4. 凡不遵守学习纪律，旷课扣 2 分/节，迟到、早退扣 0.5分/次，迟到、早退三次按旷课一节计，多次者累计扣分。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5. 无故缺席学校、院系、班级组织的活动，扣 0.5 分/次。</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6. 有失社会公德、扰乱公共秩序、违背校园文明的言行， 不听教职工或管理人员劝阻，尚不够纪律处分的，扣 2 分/ 次。</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7. 不讲诚信，通过提供虚假信息或者其他造假行为为自己谋利的，一经查实，视情节轻重扣 3-5 分/次。</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8. 新学期开学，无故不按照学校规定时间返校报到、注册或办理相关手续者，受院系以上通报批评者，均扣 3 分/ 次，不累计扣分。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9. 参加传销、法轮功等活动者，尚不构成处分的，视情节轻重扣 3－4 分。</w:t>
      </w:r>
    </w:p>
    <w:p>
      <w:pPr>
        <w:keepNext w:val="0"/>
        <w:keepLines w:val="0"/>
        <w:widowControl/>
        <w:suppressLineNumbers w:val="0"/>
        <w:spacing w:before="0" w:beforeAutospacing="0" w:after="0" w:afterAutospacing="0"/>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（六）其他。</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对本规定未明确规定的各类、各级别的加分或减分项目，各院系可参照本规定，根据实际制定相应加分或减分细则。</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第七条</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学业能力测评</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学业成绩与学分的折算方法以《中山大学南方学院课程及成绩管理规定》为依据。</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center"/>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t>第三章  综合测评的实施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第八条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学生综合测评工作，在学校党委的领导下，由学生工作部（以下简称学工部）整体部署和指导，各院系具体组织实施。</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各院系成立综合测评工作小组（简称院系测评小组）， 由院系学生工作负责人担任组长，辅导员、学生干部及学生代表组成成员，指导本院系的学生综合测评工作。</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各班级成立班级综合测评小组（简称班测评小组）， 班测评小组由辅导员（组长）和本学年度任职的 2 名班委（即班长和团支部书记）及其他 4 名学生代表组成。班测评小组主要负责核准本班注册同学的综合素质测评各项加分或扣分，计算并统计综合测评成绩。</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第九条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学生综合测评每学年进行一次，原则上本学年学生综合测评工作统一安排在下一学年第一学期开展，时间界定为上一年 9 月 1 日至当年 8 月 31 日。各院系成立测评工作小组后，应将成员名单及时上报学生工作部。</w:t>
      </w:r>
    </w:p>
    <w:p>
      <w:pPr>
        <w:keepNext w:val="0"/>
        <w:keepLines w:val="0"/>
        <w:widowControl/>
        <w:suppressLineNumbers w:val="0"/>
        <w:spacing w:before="0" w:beforeAutospacing="0" w:after="0" w:afterAutospacing="0"/>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第十条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综合测 评以班级测评、院系测评工作小组复核、批准、报学生工作部确认备案等程序进行。</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1. 学生本人首先根据测评标准进行自评，计算出本人本学年的综合素质测评成绩，列出加分、扣分项目（需提供相关证明材料），并交班测评小组。3 月份转专业学生的综合测评由现所在院系进行测评，9 月份转专业学生的综合测评回原所在院系进行测评。</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2. 班测评小组对学生提交的个人自评材料进行评审，结合学生平时表现，给出初评结果，无异议后由班评议小组填写综合测评表。</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3. 班测评小组将填写好的综合测评表，先公示，后报院系测评工作小组进行复核、批准，并按照年级、专业两个维度给学生排定名次。</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4. 院系测评工作小组对各年级、专业学生排序，并将测评结果公示 3 个工作日。学生如对测评结果有异议，须在公示期内向院系测评工作小组提请复议，院系测评工作小组应当在 3 个工作日内进行复议，并将复议结果告知学生本人。经复议后，测评结果如有更改，应再次公示更改后的结果。</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5. 学生对最终测评结果无异议后，院系将综合测评表存入学生档案，并交学生工作部备案。</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第十一条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测评结果的适用范围综合素质测评成绩存入学生本人档案，作为评定优秀学生干部、优秀毕业生和各类奖学金、助学金，以及学生推优入党、推荐就业、毕业生档案材料填写等学生情况鉴定工作的重要依据。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center"/>
        <w:rPr>
          <w:rFonts w:hint="eastAsia" w:ascii="微软雅黑" w:hAnsi="微软雅黑" w:eastAsia="微软雅黑" w:cs="微软雅黑"/>
          <w:i w:val="0"/>
          <w:caps w:val="0"/>
          <w:color w:val="333333"/>
          <w:spacing w:val="0"/>
          <w:sz w:val="24"/>
          <w:szCs w:val="24"/>
          <w:u w:val="none"/>
        </w:rPr>
      </w:pPr>
      <w:r>
        <w:rPr>
          <w:rStyle w:val="5"/>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t>第四章  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第十二条    </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本规定由学生工作部负责解释。其他有关文件规定与本规定不一致的，以本规定为准。</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br w:type="textWrapping"/>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本规定自公布之日生效。</w:t>
      </w:r>
    </w:p>
    <w:p>
      <w:pPr>
        <w:keepNext w:val="0"/>
        <w:keepLines w:val="0"/>
        <w:widowControl/>
        <w:suppressLineNumbers w:val="0"/>
        <w:spacing w:before="0" w:beforeAutospacing="0" w:after="0" w:afterAutospacing="0"/>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微软雅黑" w:hAnsi="微软雅黑" w:eastAsia="微软雅黑" w:cs="微软雅黑"/>
          <w:i w:val="0"/>
          <w:caps w:val="0"/>
          <w:color w:val="333333"/>
          <w:spacing w:val="0"/>
          <w:sz w:val="24"/>
          <w:szCs w:val="24"/>
          <w:u w:val="none"/>
        </w:rPr>
      </w:pP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555" w:hRule="atLeast"/>
          <w:tblCellSpacing w:w="0" w:type="dxa"/>
        </w:trPr>
        <w:tc>
          <w:tcPr>
            <w:tcW w:w="0" w:type="auto"/>
            <w:shd w:val="clear"/>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tbl>
                  <w:tblPr>
                    <w:tblW w:w="4998" w:type="pct"/>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85"/>
                    <w:gridCol w:w="1073"/>
                    <w:gridCol w:w="613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793" w:hRule="atLeast"/>
                      <w:tblCellSpacing w:w="0" w:type="dxa"/>
                    </w:trPr>
                    <w:tc>
                      <w:tcPr>
                        <w:tcW w:w="655"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一级指标</w:t>
                        </w:r>
                      </w:p>
                    </w:tc>
                    <w:tc>
                      <w:tcPr>
                        <w:tcW w:w="64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二级指标</w:t>
                        </w: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Style w:val="5"/>
                            <w:rFonts w:ascii="宋体" w:hAnsi="宋体" w:eastAsia="宋体" w:cs="宋体"/>
                            <w:kern w:val="0"/>
                            <w:sz w:val="21"/>
                            <w:szCs w:val="21"/>
                            <w:bdr w:val="none" w:color="auto" w:sz="0" w:space="0"/>
                            <w:lang w:val="en-US" w:eastAsia="zh-CN" w:bidi="ar"/>
                          </w:rPr>
                          <w:t>参照点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230" w:hRule="atLeast"/>
                      <w:tblCellSpacing w:w="0" w:type="dxa"/>
                    </w:trPr>
                    <w:tc>
                      <w:tcPr>
                        <w:tcW w:w="655"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思想道德素养</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（18 分）</w:t>
                        </w:r>
                      </w:p>
                    </w:tc>
                    <w:tc>
                      <w:tcPr>
                        <w:tcW w:w="647"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政治素质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坚决拥护党的领导，坚持社会主义道路热爱祖国与人民，发奋学习，努力实践，以报效国家为己任。</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25" w:hRule="atLeast"/>
                      <w:tblCellSpacing w:w="0" w:type="dxa"/>
                    </w:trPr>
                    <w:tc>
                      <w:tcPr>
                        <w:tcW w:w="655" w:type="pct"/>
                        <w:vMerge w:val="continue"/>
                        <w:shd w:val="clear"/>
                        <w:vAlign w:val="center"/>
                      </w:tcPr>
                      <w:p>
                        <w:pPr>
                          <w:rPr>
                            <w:rFonts w:hint="eastAsia" w:ascii="宋体"/>
                            <w:sz w:val="24"/>
                            <w:szCs w:val="24"/>
                          </w:rPr>
                        </w:pPr>
                      </w:p>
                    </w:tc>
                    <w:tc>
                      <w:tcPr>
                        <w:tcW w:w="647" w:type="pct"/>
                        <w:vMerge w:val="continue"/>
                        <w:shd w:val="clear"/>
                        <w:vAlign w:val="center"/>
                      </w:tcPr>
                      <w:p>
                        <w:pPr>
                          <w:rPr>
                            <w:rFonts w:hint="eastAsia" w:ascii="宋体"/>
                            <w:sz w:val="24"/>
                            <w:szCs w:val="24"/>
                          </w:rPr>
                        </w:pP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能够正确处理个人、集体和国家利益之间的关系，能够在错综复杂的政治环境中保持清醒的政治头脑。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trPr>
                    <w:tc>
                      <w:tcPr>
                        <w:tcW w:w="655" w:type="pct"/>
                        <w:vMerge w:val="continue"/>
                        <w:shd w:val="clear"/>
                        <w:vAlign w:val="center"/>
                      </w:tcPr>
                      <w:p>
                        <w:pPr>
                          <w:rPr>
                            <w:rFonts w:hint="eastAsia" w:ascii="宋体"/>
                            <w:sz w:val="24"/>
                            <w:szCs w:val="24"/>
                          </w:rPr>
                        </w:pPr>
                      </w:p>
                    </w:tc>
                    <w:tc>
                      <w:tcPr>
                        <w:tcW w:w="647" w:type="pct"/>
                        <w:vMerge w:val="continue"/>
                        <w:shd w:val="clear"/>
                        <w:vAlign w:val="center"/>
                      </w:tcPr>
                      <w:p>
                        <w:pPr>
                          <w:rPr>
                            <w:rFonts w:hint="eastAsia" w:ascii="宋体"/>
                            <w:sz w:val="24"/>
                            <w:szCs w:val="24"/>
                          </w:rPr>
                        </w:pP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正确认识社会发展规律，关心国家前途和民族命运， 确立在中国共产党领导下走中国特色社会主义道路，实现中华民族伟大复兴的共同理想和坚定信念。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25" w:hRule="atLeast"/>
                      <w:tblCellSpacing w:w="0" w:type="dxa"/>
                    </w:trPr>
                    <w:tc>
                      <w:tcPr>
                        <w:tcW w:w="655" w:type="pct"/>
                        <w:vMerge w:val="continue"/>
                        <w:shd w:val="clear"/>
                        <w:vAlign w:val="center"/>
                      </w:tcPr>
                      <w:p>
                        <w:pPr>
                          <w:rPr>
                            <w:rFonts w:hint="eastAsia" w:ascii="宋体"/>
                            <w:sz w:val="24"/>
                            <w:szCs w:val="24"/>
                          </w:rPr>
                        </w:pPr>
                      </w:p>
                    </w:tc>
                    <w:tc>
                      <w:tcPr>
                        <w:tcW w:w="647"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思想素质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有正确的世界观、人生观、价值观，能够掌握马克思主义认识世界和改造世界的方法论。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trPr>
                    <w:tc>
                      <w:tcPr>
                        <w:tcW w:w="655" w:type="pct"/>
                        <w:vMerge w:val="continue"/>
                        <w:shd w:val="clear"/>
                        <w:vAlign w:val="center"/>
                      </w:tcPr>
                      <w:p>
                        <w:pPr>
                          <w:rPr>
                            <w:rFonts w:hint="eastAsia" w:ascii="宋体"/>
                            <w:sz w:val="24"/>
                            <w:szCs w:val="24"/>
                          </w:rPr>
                        </w:pPr>
                      </w:p>
                    </w:tc>
                    <w:tc>
                      <w:tcPr>
                        <w:tcW w:w="647" w:type="pct"/>
                        <w:vMerge w:val="continue"/>
                        <w:shd w:val="clear"/>
                        <w:vAlign w:val="center"/>
                      </w:tcPr>
                      <w:p>
                        <w:pPr>
                          <w:rPr>
                            <w:rFonts w:hint="eastAsia" w:ascii="宋体"/>
                            <w:sz w:val="24"/>
                            <w:szCs w:val="24"/>
                          </w:rPr>
                        </w:pP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具有社会责任感，关心国家，关注社会，关怀民生， 立足现实，拼搏进取，勇于担当；积极参加志愿服务等有意义的活动。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trPr>
                    <w:tc>
                      <w:tcPr>
                        <w:tcW w:w="655" w:type="pct"/>
                        <w:vMerge w:val="continue"/>
                        <w:shd w:val="clear"/>
                        <w:vAlign w:val="center"/>
                      </w:tcPr>
                      <w:p>
                        <w:pPr>
                          <w:rPr>
                            <w:rFonts w:hint="eastAsia" w:ascii="宋体"/>
                            <w:sz w:val="24"/>
                            <w:szCs w:val="24"/>
                          </w:rPr>
                        </w:pPr>
                      </w:p>
                    </w:tc>
                    <w:tc>
                      <w:tcPr>
                        <w:tcW w:w="647" w:type="pct"/>
                        <w:vMerge w:val="continue"/>
                        <w:shd w:val="clear"/>
                        <w:vAlign w:val="center"/>
                      </w:tcPr>
                      <w:p>
                        <w:pPr>
                          <w:rPr>
                            <w:rFonts w:hint="eastAsia" w:ascii="宋体"/>
                            <w:sz w:val="24"/>
                            <w:szCs w:val="24"/>
                          </w:rPr>
                        </w:pP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严于律己，助人为乐，坚持公平与正义，在批判中守护传统，在开拓进取中弘扬精神文明，在自强不息中见贤思齐。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trPr>
                    <w:tc>
                      <w:tcPr>
                        <w:tcW w:w="655" w:type="pct"/>
                        <w:vMerge w:val="continue"/>
                        <w:shd w:val="clear"/>
                        <w:vAlign w:val="center"/>
                      </w:tcPr>
                      <w:p>
                        <w:pPr>
                          <w:rPr>
                            <w:rFonts w:hint="eastAsia" w:ascii="宋体"/>
                            <w:sz w:val="24"/>
                            <w:szCs w:val="24"/>
                          </w:rPr>
                        </w:pPr>
                      </w:p>
                    </w:tc>
                    <w:tc>
                      <w:tcPr>
                        <w:tcW w:w="647"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道德素质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拥有良好的职业道德、社会公德与家庭美德，继承并发扬中华民族的优良传统；具有高尚的审美情趣，做到心灵美、语言美、行为美、仪表美。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30" w:hRule="atLeast"/>
                      <w:tblCellSpacing w:w="0" w:type="dxa"/>
                    </w:trPr>
                    <w:tc>
                      <w:tcPr>
                        <w:tcW w:w="655" w:type="pct"/>
                        <w:vMerge w:val="continue"/>
                        <w:shd w:val="clear"/>
                        <w:vAlign w:val="center"/>
                      </w:tcPr>
                      <w:p>
                        <w:pPr>
                          <w:rPr>
                            <w:rFonts w:hint="eastAsia" w:ascii="宋体"/>
                            <w:sz w:val="24"/>
                            <w:szCs w:val="24"/>
                          </w:rPr>
                        </w:pPr>
                      </w:p>
                    </w:tc>
                    <w:tc>
                      <w:tcPr>
                        <w:tcW w:w="647" w:type="pct"/>
                        <w:vMerge w:val="continue"/>
                        <w:shd w:val="clear"/>
                        <w:vAlign w:val="center"/>
                      </w:tcPr>
                      <w:p>
                        <w:pPr>
                          <w:rPr>
                            <w:rFonts w:hint="eastAsia" w:ascii="宋体"/>
                            <w:sz w:val="24"/>
                            <w:szCs w:val="24"/>
                          </w:rPr>
                        </w:pPr>
                      </w:p>
                    </w:tc>
                    <w:tc>
                      <w:tcPr>
                        <w:tcW w:w="3697"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诚实守信，勤劳节俭，正直勇敢，自尊自爱，明辨善</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u w:val="none"/>
                    </w:rPr>
                  </w:pPr>
                  <w:r>
                    <w:rPr>
                      <w:rFonts w:ascii="宋体" w:hAnsi="宋体" w:eastAsia="宋体" w:cs="宋体"/>
                      <w:kern w:val="0"/>
                      <w:sz w:val="21"/>
                      <w:szCs w:val="21"/>
                      <w:u w:val="none"/>
                      <w:bdr w:val="none" w:color="auto" w:sz="0" w:space="0"/>
                      <w:lang w:val="en-US" w:eastAsia="zh-CN" w:bidi="ar"/>
                    </w:rPr>
                    <w:t> </w:t>
                  </w:r>
                </w:p>
              </w:tc>
            </w:tr>
          </w:tbl>
          <w:p/>
        </w:tc>
      </w:tr>
    </w:tbl>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pPr>
    </w:p>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pPr>
    </w:p>
    <w:p>
      <w:pPr>
        <w:keepNext w:val="0"/>
        <w:keepLines w:val="0"/>
        <w:widowControl/>
        <w:suppressLineNumbers w:val="0"/>
        <w:spacing w:before="0" w:beforeAutospacing="0" w:after="0" w:afterAutospacing="0"/>
        <w:ind w:left="3360" w:right="0" w:hanging="3360" w:hangingChars="1600"/>
        <w:jc w:val="left"/>
        <w:rPr>
          <w:rFonts w:hint="eastAsia" w:ascii="微软雅黑" w:hAnsi="微软雅黑" w:eastAsia="微软雅黑" w:cs="微软雅黑"/>
          <w:i w:val="0"/>
          <w:caps w:val="0"/>
          <w:color w:val="333333"/>
          <w:spacing w:val="0"/>
          <w:sz w:val="24"/>
          <w:szCs w:val="24"/>
          <w:u w:val="none"/>
        </w:rPr>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附件：</w:t>
      </w:r>
      <w:r>
        <w:rPr>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333333"/>
          <w:spacing w:val="0"/>
          <w:kern w:val="0"/>
          <w:sz w:val="24"/>
          <w:szCs w:val="24"/>
          <w:u w:val="none"/>
          <w:bdr w:val="none" w:color="auto" w:sz="0" w:space="0"/>
          <w:shd w:val="clear" w:fill="FFFFFF"/>
          <w:lang w:val="en-US" w:eastAsia="zh-CN" w:bidi="ar"/>
        </w:rPr>
        <w:t>基础素质测评指标体系</w:t>
      </w:r>
    </w:p>
    <w:p>
      <w:pPr>
        <w:keepNext w:val="0"/>
        <w:keepLines w:val="0"/>
        <w:widowControl/>
        <w:suppressLineNumbers w:val="0"/>
        <w:spacing w:before="0" w:beforeAutospacing="0" w:after="0" w:afterAutospacing="0"/>
        <w:ind w:left="0" w:right="0"/>
        <w:jc w:val="left"/>
      </w:pPr>
    </w:p>
    <w:tbl>
      <w:tblPr>
        <w:tblW w:w="4998" w:type="pct"/>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91"/>
        <w:gridCol w:w="1077"/>
        <w:gridCol w:w="616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741" w:hRule="atLeast"/>
          <w:tblCellSpacing w:w="0" w:type="dxa"/>
        </w:trPr>
        <w:tc>
          <w:tcPr>
            <w:tcW w:w="655"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p>
        </w:tc>
        <w:tc>
          <w:tcPr>
            <w:tcW w:w="646"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恶，敬业奉献，遵守网络道德规范，抵制黄赌毒与假黑诈。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03"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尊敬师长，关心同学，言谈得体，举止端庄；知荣辱， 讲正气，懂礼节，识进退；在公共场合能仪表整洁，落落大方，动静合宜。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40" w:hRule="atLeast"/>
          <w:tblCellSpacing w:w="0" w:type="dxa"/>
        </w:trPr>
        <w:tc>
          <w:tcPr>
            <w:tcW w:w="655"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组织法纪素养</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（12 分）</w:t>
            </w:r>
          </w:p>
        </w:tc>
        <w:tc>
          <w:tcPr>
            <w:tcW w:w="646"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组织素质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富有集体主义精神，对学习生活的集体有认同感、荣誉感和归属感，尊重自己与他人，以集体利益为重。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048"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关心他人和集体，团结互助，积极参加学校、院系以及班级组织的各项活动，积极发挥个人在集体中的建设性作用。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44"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具有团队协作精神，掌握沟通与合作的技能技巧，懂得互相帮助，共同进步。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891" w:hRule="atLeast"/>
          <w:tblCellSpacing w:w="0" w:type="dxa"/>
        </w:trPr>
        <w:tc>
          <w:tcPr>
            <w:tcW w:w="655" w:type="pct"/>
            <w:vMerge w:val="continue"/>
            <w:shd w:val="clear"/>
            <w:vAlign w:val="center"/>
          </w:tcPr>
          <w:p>
            <w:pPr>
              <w:rPr>
                <w:rFonts w:hint="eastAsia" w:ascii="宋体"/>
                <w:sz w:val="24"/>
                <w:szCs w:val="24"/>
              </w:rPr>
            </w:pPr>
          </w:p>
        </w:tc>
        <w:tc>
          <w:tcPr>
            <w:tcW w:w="646"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法纪素质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学法、懂法，认真学习以宪法为核心的一系列法律法规，熟知校纪校规；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241"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守法、护法，积极参与法律实践；宣传社会主义法治观念，尊重他人合法权益，自觉维护法律权威，遵守校规校纪。</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25"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用法，培养社会主义法律思维方式，学会运用法律（法规）方法思考、分析和解决学习和生活中的问题。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061" w:hRule="atLeast"/>
          <w:tblCellSpacing w:w="0" w:type="dxa"/>
        </w:trPr>
        <w:tc>
          <w:tcPr>
            <w:tcW w:w="655"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学习发展素养</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（12 分）</w:t>
            </w:r>
          </w:p>
        </w:tc>
        <w:tc>
          <w:tcPr>
            <w:tcW w:w="646"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学习与生活素质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适应大学环境，认识大学的特点，接受大学学习和生活方式，能利用环境变化的有利因素，培养与完善弹性适应社会的能力。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25"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有追求卓越的学习意识，有开拓进取的精神，有坚定的学习意志，有浓厚的学习兴趣，有自主学习的能力。</w:t>
            </w:r>
          </w:p>
        </w:tc>
      </w:tr>
    </w:tbl>
    <w:p>
      <w:pPr>
        <w:rPr>
          <w:vanish/>
          <w:sz w:val="24"/>
          <w:szCs w:val="24"/>
        </w:rPr>
      </w:pPr>
    </w:p>
    <w:tbl>
      <w:tblPr>
        <w:tblW w:w="4999" w:type="pct"/>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78"/>
        <w:gridCol w:w="1067"/>
        <w:gridCol w:w="6099"/>
        <w:gridCol w:w="9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25" w:hRule="atLeast"/>
          <w:tblCellSpacing w:w="0" w:type="dxa"/>
        </w:trPr>
        <w:tc>
          <w:tcPr>
            <w:tcW w:w="647"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p>
        </w:tc>
        <w:tc>
          <w:tcPr>
            <w:tcW w:w="640"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热爱生活，有良好的独立思考能力与学习、生活习惯，通过努力不断提高和完善自身的知识结构。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81" w:hRule="atLeast"/>
          <w:tblCellSpacing w:w="0" w:type="dxa"/>
        </w:trPr>
        <w:tc>
          <w:tcPr>
            <w:tcW w:w="647" w:type="pct"/>
            <w:vMerge w:val="continue"/>
            <w:shd w:val="clear"/>
            <w:vAlign w:val="center"/>
          </w:tcPr>
          <w:p>
            <w:pPr>
              <w:rPr>
                <w:rFonts w:hint="eastAsia" w:ascii="宋体"/>
                <w:sz w:val="24"/>
                <w:szCs w:val="24"/>
              </w:rPr>
            </w:pPr>
          </w:p>
        </w:tc>
        <w:tc>
          <w:tcPr>
            <w:tcW w:w="640"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实践与创新素质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能够学以致用，理论联系实际，能够把所学知识用于分析问题、解决问题上；积极参加实践，在实践中不断丰富和完善自己的知识。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trPr>
        <w:tc>
          <w:tcPr>
            <w:tcW w:w="647" w:type="pct"/>
            <w:vMerge w:val="continue"/>
            <w:shd w:val="clear"/>
            <w:vAlign w:val="center"/>
          </w:tcPr>
          <w:p>
            <w:pPr>
              <w:rPr>
                <w:rFonts w:hint="eastAsia" w:ascii="宋体"/>
                <w:sz w:val="24"/>
                <w:szCs w:val="24"/>
              </w:rPr>
            </w:pPr>
          </w:p>
        </w:tc>
        <w:tc>
          <w:tcPr>
            <w:tcW w:w="640" w:type="pct"/>
            <w:vMerge w:val="continue"/>
            <w:shd w:val="clear"/>
            <w:vAlign w:val="center"/>
          </w:tcPr>
          <w:p>
            <w:pPr>
              <w:rPr>
                <w:rFonts w:hint="eastAsia" w:ascii="宋体"/>
                <w:sz w:val="24"/>
                <w:szCs w:val="24"/>
              </w:rPr>
            </w:pP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胸怀远大理想，富于探索精神；乐于接受新生事物，能在学习已有知识能力的基础上，提出新的观点、见解或作出发明创造。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81" w:hRule="atLeast"/>
          <w:tblCellSpacing w:w="0" w:type="dxa"/>
        </w:trPr>
        <w:tc>
          <w:tcPr>
            <w:tcW w:w="647" w:type="pct"/>
            <w:vMerge w:val="continue"/>
            <w:shd w:val="clear"/>
            <w:vAlign w:val="center"/>
          </w:tcPr>
          <w:p>
            <w:pPr>
              <w:rPr>
                <w:rFonts w:hint="eastAsia" w:ascii="宋体"/>
                <w:sz w:val="24"/>
                <w:szCs w:val="24"/>
              </w:rPr>
            </w:pPr>
          </w:p>
        </w:tc>
        <w:tc>
          <w:tcPr>
            <w:tcW w:w="640" w:type="pct"/>
            <w:vMerge w:val="continue"/>
            <w:shd w:val="clear"/>
            <w:vAlign w:val="center"/>
          </w:tcPr>
          <w:p>
            <w:pPr>
              <w:rPr>
                <w:rFonts w:hint="eastAsia" w:ascii="宋体"/>
                <w:sz w:val="24"/>
                <w:szCs w:val="24"/>
              </w:rPr>
            </w:pP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处理问题不拘泥于固定模式，能举一反三，善于质疑辨析，能突破固有思维，理性、多角度看问题，具有创造性思维。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81" w:hRule="atLeast"/>
          <w:tblCellSpacing w:w="0" w:type="dxa"/>
        </w:trPr>
        <w:tc>
          <w:tcPr>
            <w:tcW w:w="647"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科学文化素养</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640"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科学文化素质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科学思维富有逻辑，能归纳和演绎所学知识，能辩证的认识事物，系统而整体的看待事物，对问题能全过程的分析，从大局出发进行决策。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81" w:hRule="atLeast"/>
          <w:tblCellSpacing w:w="0" w:type="dxa"/>
        </w:trPr>
        <w:tc>
          <w:tcPr>
            <w:tcW w:w="647" w:type="pct"/>
            <w:vMerge w:val="continue"/>
            <w:shd w:val="clear"/>
            <w:vAlign w:val="center"/>
          </w:tcPr>
          <w:p>
            <w:pPr>
              <w:rPr>
                <w:rFonts w:hint="eastAsia" w:ascii="宋体"/>
                <w:sz w:val="24"/>
                <w:szCs w:val="24"/>
              </w:rPr>
            </w:pPr>
          </w:p>
        </w:tc>
        <w:tc>
          <w:tcPr>
            <w:tcW w:w="640" w:type="pct"/>
            <w:vMerge w:val="continue"/>
            <w:shd w:val="clear"/>
            <w:vAlign w:val="center"/>
          </w:tcPr>
          <w:p>
            <w:pPr>
              <w:rPr>
                <w:rFonts w:hint="eastAsia" w:ascii="宋体"/>
                <w:sz w:val="24"/>
                <w:szCs w:val="24"/>
              </w:rPr>
            </w:pP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具有丰富的社会科学、人文科学、自然科学等学科知识；有健康高雅的审美情趣和审美能力；具有高尚的文化修养，崇尚科学，掌握科学知识且具有科学精神。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81" w:hRule="atLeast"/>
          <w:tblCellSpacing w:w="0" w:type="dxa"/>
        </w:trPr>
        <w:tc>
          <w:tcPr>
            <w:tcW w:w="647" w:type="pct"/>
            <w:vMerge w:val="continue"/>
            <w:shd w:val="clear"/>
            <w:vAlign w:val="center"/>
          </w:tcPr>
          <w:p>
            <w:pPr>
              <w:rPr>
                <w:rFonts w:hint="eastAsia" w:ascii="宋体"/>
                <w:sz w:val="24"/>
                <w:szCs w:val="24"/>
              </w:rPr>
            </w:pPr>
          </w:p>
        </w:tc>
        <w:tc>
          <w:tcPr>
            <w:tcW w:w="640" w:type="pct"/>
            <w:vMerge w:val="continue"/>
            <w:shd w:val="clear"/>
            <w:vAlign w:val="center"/>
          </w:tcPr>
          <w:p>
            <w:pPr>
              <w:rPr>
                <w:rFonts w:hint="eastAsia" w:ascii="宋体"/>
                <w:sz w:val="24"/>
                <w:szCs w:val="24"/>
              </w:rPr>
            </w:pP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能掌握信息技术尤其是计算机应用技术，能够有效且高效地获取信息，能够正确地评价信息，能够精确地、创造性地使用信息。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25" w:hRule="atLeast"/>
          <w:tblCellSpacing w:w="0" w:type="dxa"/>
        </w:trPr>
        <w:tc>
          <w:tcPr>
            <w:tcW w:w="647"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身心健康素养</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（12 分）</w:t>
            </w:r>
          </w:p>
        </w:tc>
        <w:tc>
          <w:tcPr>
            <w:tcW w:w="640"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身体素质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具有有良好的身体素质，认真上好体育课，掌握健康常识，运动的知识和技能。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647" w:type="pct"/>
            <w:vMerge w:val="continue"/>
            <w:shd w:val="clear"/>
            <w:vAlign w:val="center"/>
          </w:tcPr>
          <w:p>
            <w:pPr>
              <w:rPr>
                <w:rFonts w:hint="eastAsia" w:ascii="宋体"/>
                <w:sz w:val="24"/>
                <w:szCs w:val="24"/>
              </w:rPr>
            </w:pPr>
          </w:p>
        </w:tc>
        <w:tc>
          <w:tcPr>
            <w:tcW w:w="640" w:type="pct"/>
            <w:vMerge w:val="continue"/>
            <w:shd w:val="clear"/>
            <w:vAlign w:val="center"/>
          </w:tcPr>
          <w:p>
            <w:pPr>
              <w:rPr>
                <w:rFonts w:hint="eastAsia" w:ascii="宋体"/>
                <w:sz w:val="24"/>
                <w:szCs w:val="24"/>
              </w:rPr>
            </w:pPr>
          </w:p>
        </w:tc>
        <w:tc>
          <w:tcPr>
            <w:tcW w:w="3712" w:type="pct"/>
            <w:gridSpan w:val="2"/>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积极参加体育锻炼，践行每天锻炼一小时。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55" w:hRule="atLeast"/>
          <w:tblCellSpacing w:w="0" w:type="dxa"/>
        </w:trPr>
        <w:tc>
          <w:tcPr>
            <w:tcW w:w="647" w:type="pct"/>
            <w:vMerge w:val="continue"/>
            <w:shd w:val="clear"/>
            <w:vAlign w:val="center"/>
          </w:tcPr>
          <w:p>
            <w:pPr>
              <w:rPr>
                <w:rFonts w:hint="eastAsia" w:ascii="宋体"/>
                <w:sz w:val="24"/>
                <w:szCs w:val="24"/>
              </w:rPr>
            </w:pPr>
          </w:p>
        </w:tc>
        <w:tc>
          <w:tcPr>
            <w:tcW w:w="640" w:type="pct"/>
            <w:vMerge w:val="continue"/>
            <w:shd w:val="clear"/>
            <w:vAlign w:val="center"/>
          </w:tcPr>
          <w:p>
            <w:pPr>
              <w:rPr>
                <w:rFonts w:hint="eastAsia" w:ascii="宋体"/>
                <w:sz w:val="24"/>
                <w:szCs w:val="24"/>
              </w:rPr>
            </w:pPr>
          </w:p>
        </w:tc>
        <w:tc>
          <w:tcPr>
            <w:tcW w:w="365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学会科学锻炼身体的方法，并将运动贯穿于日后的学习、生活与工作中。</w:t>
            </w:r>
          </w:p>
        </w:tc>
        <w:tc>
          <w:tcPr>
            <w:tcW w:w="53" w:type="pct"/>
            <w:tcBorders>
              <w:left w:val="nil"/>
            </w:tcBorders>
            <w:shd w:val="clear"/>
            <w:vAlign w:val="center"/>
          </w:tcPr>
          <w:p>
            <w:pPr>
              <w:rPr>
                <w:rFonts w:hint="eastAsia" w:ascii="宋体"/>
                <w:sz w:val="24"/>
                <w:szCs w:val="24"/>
              </w:rPr>
            </w:pPr>
          </w:p>
        </w:tc>
      </w:tr>
    </w:tbl>
    <w:p>
      <w:pPr>
        <w:rPr>
          <w:vanish/>
          <w:sz w:val="24"/>
          <w:szCs w:val="24"/>
        </w:rPr>
      </w:pPr>
    </w:p>
    <w:tbl>
      <w:tblPr>
        <w:tblW w:w="4998" w:type="pct"/>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91"/>
        <w:gridCol w:w="1077"/>
        <w:gridCol w:w="616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10" w:hRule="atLeast"/>
          <w:tblCellSpacing w:w="0" w:type="dxa"/>
        </w:trPr>
        <w:tc>
          <w:tcPr>
            <w:tcW w:w="655"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p>
        </w:tc>
        <w:tc>
          <w:tcPr>
            <w:tcW w:w="646"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参加《国家学生体质健康标准》测试成绩不及格或未参加者则该项记为 0 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25" w:hRule="atLeast"/>
          <w:tblCellSpacing w:w="0" w:type="dxa"/>
        </w:trPr>
        <w:tc>
          <w:tcPr>
            <w:tcW w:w="655" w:type="pct"/>
            <w:vMerge w:val="continue"/>
            <w:shd w:val="clear"/>
            <w:vAlign w:val="center"/>
          </w:tcPr>
          <w:p>
            <w:pPr>
              <w:rPr>
                <w:rFonts w:hint="eastAsia" w:ascii="宋体"/>
                <w:sz w:val="24"/>
                <w:szCs w:val="24"/>
              </w:rPr>
            </w:pPr>
          </w:p>
        </w:tc>
        <w:tc>
          <w:tcPr>
            <w:tcW w:w="646" w:type="pct"/>
            <w:vMerge w:val="restar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 </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心理素质</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（6 分）</w:t>
            </w: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具有健康的人格，能保持正确的自我意识，接纳自我， 能保持完整统一的人格品质。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具有良好的心理素质，有坚定的意志、信念，有良好的情绪调节能力；能保持良好的心境，对事物反应适度，不迟缓、不敏感。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25" w:hRule="atLeast"/>
          <w:tblCellSpacing w:w="0" w:type="dxa"/>
        </w:trPr>
        <w:tc>
          <w:tcPr>
            <w:tcW w:w="655" w:type="pct"/>
            <w:vMerge w:val="continue"/>
            <w:shd w:val="clear"/>
            <w:vAlign w:val="center"/>
          </w:tcPr>
          <w:p>
            <w:pPr>
              <w:rPr>
                <w:rFonts w:hint="eastAsia" w:ascii="宋体"/>
                <w:sz w:val="24"/>
                <w:szCs w:val="24"/>
              </w:rPr>
            </w:pPr>
          </w:p>
        </w:tc>
        <w:tc>
          <w:tcPr>
            <w:tcW w:w="646" w:type="pct"/>
            <w:vMerge w:val="continue"/>
            <w:shd w:val="clear"/>
            <w:vAlign w:val="center"/>
          </w:tcPr>
          <w:p>
            <w:pPr>
              <w:rPr>
                <w:rFonts w:hint="eastAsia" w:ascii="宋体"/>
                <w:sz w:val="24"/>
                <w:szCs w:val="24"/>
              </w:rPr>
            </w:pPr>
          </w:p>
        </w:tc>
        <w:tc>
          <w:tcPr>
            <w:tcW w:w="3698" w:type="pct"/>
            <w:shd w:val="clear"/>
            <w:vAlign w:val="center"/>
          </w:tcPr>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具有和谐的人际关系，能保持良好的环境适应能力， 包括正确认识环境及处理个人和环境的关系。</w:t>
            </w:r>
          </w:p>
        </w:tc>
      </w:tr>
    </w:tbl>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t> </w:t>
      </w:r>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C266E"/>
    <w:rsid w:val="3A09156E"/>
    <w:rsid w:val="53EA742B"/>
    <w:rsid w:val="7E0007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2020-06-02T01:51:46Z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